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1F3A8">
      <w:pPr>
        <w:pStyle w:val="15"/>
        <w:widowControl w:val="0"/>
        <w:spacing w:before="0" w:after="0" w:line="360" w:lineRule="auto"/>
        <w:rPr>
          <w:kern w:val="2"/>
          <w:highlight w:val="none"/>
        </w:rPr>
      </w:pPr>
      <w:bookmarkStart w:id="0" w:name="_Toc67627991"/>
      <w:r>
        <w:rPr>
          <w:rFonts w:hint="eastAsia"/>
          <w:kern w:val="2"/>
          <w:highlight w:val="none"/>
        </w:rPr>
        <w:t xml:space="preserve"> </w:t>
      </w:r>
    </w:p>
    <w:p w14:paraId="1DCE0AA9">
      <w:pPr>
        <w:spacing w:line="360" w:lineRule="auto"/>
        <w:jc w:val="center"/>
        <w:rPr>
          <w:rFonts w:hint="default" w:ascii="黑体" w:hAnsi="宋体" w:eastAsia="黑体" w:cs="Times New Roman"/>
          <w:b/>
          <w:sz w:val="56"/>
          <w:szCs w:val="56"/>
          <w:highlight w:val="none"/>
          <w:lang w:val="en-US" w:eastAsia="zh-CN"/>
        </w:rPr>
      </w:pPr>
      <w:bookmarkStart w:id="1" w:name="OLE_LINK1"/>
      <w:bookmarkStart w:id="2" w:name="OLE_LINK7"/>
      <w:r>
        <w:rPr>
          <w:rFonts w:hint="eastAsia" w:ascii="黑体" w:hAnsi="宋体" w:eastAsia="黑体" w:cs="Times New Roman"/>
          <w:b/>
          <w:sz w:val="56"/>
          <w:szCs w:val="56"/>
          <w:highlight w:val="none"/>
          <w:lang w:val="en-US" w:eastAsia="zh-CN"/>
        </w:rPr>
        <w:t>江苏煤炭地质勘探三队固原吊装运输服务采购</w:t>
      </w:r>
    </w:p>
    <w:p w14:paraId="06605A21">
      <w:pPr>
        <w:spacing w:line="360" w:lineRule="auto"/>
        <w:jc w:val="center"/>
        <w:rPr>
          <w:rFonts w:hint="eastAsia" w:ascii="黑体" w:hAnsi="宋体" w:eastAsia="黑体" w:cs="Times New Roman"/>
          <w:b/>
          <w:sz w:val="56"/>
          <w:szCs w:val="56"/>
          <w:highlight w:val="none"/>
          <w:lang w:val="en-US" w:eastAsia="zh-CN"/>
        </w:rPr>
      </w:pPr>
    </w:p>
    <w:bookmarkEnd w:id="1"/>
    <w:bookmarkEnd w:id="2"/>
    <w:p w14:paraId="43341657">
      <w:pPr>
        <w:rPr>
          <w:highlight w:val="none"/>
        </w:rPr>
      </w:pPr>
    </w:p>
    <w:p w14:paraId="173BA270">
      <w:pPr>
        <w:pStyle w:val="8"/>
        <w:rPr>
          <w:highlight w:val="none"/>
        </w:rPr>
      </w:pPr>
    </w:p>
    <w:p w14:paraId="085DE6C8">
      <w:pPr>
        <w:rPr>
          <w:highlight w:val="none"/>
        </w:rPr>
      </w:pPr>
    </w:p>
    <w:p w14:paraId="53AB49D8">
      <w:pPr>
        <w:spacing w:line="360" w:lineRule="auto"/>
        <w:jc w:val="center"/>
        <w:rPr>
          <w:rFonts w:ascii="宋体" w:hAnsi="宋体" w:cs="宋体"/>
          <w:b/>
          <w:bCs/>
          <w:sz w:val="52"/>
          <w:szCs w:val="52"/>
          <w:highlight w:val="none"/>
        </w:rPr>
      </w:pPr>
      <w:r>
        <w:rPr>
          <w:rFonts w:hint="eastAsia" w:ascii="宋体" w:hAnsi="宋体" w:cs="宋体"/>
          <w:b/>
          <w:bCs/>
          <w:sz w:val="52"/>
          <w:szCs w:val="52"/>
          <w:highlight w:val="none"/>
        </w:rPr>
        <w:t>竞争谈判文件</w:t>
      </w:r>
    </w:p>
    <w:p w14:paraId="0018459A">
      <w:pPr>
        <w:spacing w:line="360" w:lineRule="auto"/>
        <w:jc w:val="center"/>
        <w:rPr>
          <w:rFonts w:hint="default" w:ascii="宋体" w:hAnsi="宋体" w:eastAsia="宋体" w:cs="宋体"/>
          <w:b/>
          <w:bCs/>
          <w:sz w:val="52"/>
          <w:szCs w:val="52"/>
          <w:highlight w:val="none"/>
          <w:lang w:val="en-US" w:eastAsia="zh-CN"/>
        </w:rPr>
      </w:pPr>
      <w:r>
        <w:rPr>
          <w:rFonts w:hint="eastAsia" w:ascii="宋体" w:hAnsi="宋体" w:cs="宋体"/>
          <w:b/>
          <w:bCs/>
          <w:sz w:val="52"/>
          <w:szCs w:val="52"/>
          <w:highlight w:val="none"/>
        </w:rPr>
        <w:t>采购编号：ZMCJ0</w:t>
      </w:r>
      <w:r>
        <w:rPr>
          <w:rFonts w:hint="eastAsia" w:ascii="宋体" w:hAnsi="宋体" w:cs="宋体"/>
          <w:b/>
          <w:bCs/>
          <w:sz w:val="52"/>
          <w:szCs w:val="52"/>
          <w:highlight w:val="none"/>
          <w:lang w:val="en-US" w:eastAsia="zh-CN"/>
        </w:rPr>
        <w:t>2</w:t>
      </w:r>
      <w:r>
        <w:rPr>
          <w:rFonts w:hint="eastAsia" w:ascii="宋体" w:hAnsi="宋体" w:cs="宋体"/>
          <w:b/>
          <w:bCs/>
          <w:sz w:val="52"/>
          <w:szCs w:val="52"/>
          <w:highlight w:val="none"/>
        </w:rPr>
        <w:t>CG2026</w:t>
      </w:r>
      <w:r>
        <w:rPr>
          <w:rFonts w:hint="eastAsia" w:ascii="宋体" w:hAnsi="宋体" w:cs="宋体"/>
          <w:b/>
          <w:bCs/>
          <w:sz w:val="52"/>
          <w:szCs w:val="52"/>
          <w:highlight w:val="none"/>
          <w:lang w:val="en-US" w:eastAsia="zh-CN"/>
        </w:rPr>
        <w:t>0</w:t>
      </w:r>
      <w:r>
        <w:rPr>
          <w:rFonts w:hint="eastAsia" w:ascii="宋体" w:hAnsi="宋体" w:cs="宋体"/>
          <w:b/>
          <w:bCs/>
          <w:sz w:val="52"/>
          <w:szCs w:val="52"/>
          <w:highlight w:val="none"/>
        </w:rPr>
        <w:t>0</w:t>
      </w:r>
      <w:r>
        <w:rPr>
          <w:rFonts w:hint="eastAsia" w:ascii="宋体" w:hAnsi="宋体" w:cs="宋体"/>
          <w:b/>
          <w:bCs/>
          <w:sz w:val="52"/>
          <w:szCs w:val="52"/>
          <w:highlight w:val="none"/>
          <w:lang w:val="en-US" w:eastAsia="zh-CN"/>
        </w:rPr>
        <w:t>41</w:t>
      </w:r>
    </w:p>
    <w:p w14:paraId="30C24B42">
      <w:pPr>
        <w:spacing w:line="360" w:lineRule="auto"/>
        <w:rPr>
          <w:rFonts w:ascii="宋体" w:hAnsi="宋体"/>
          <w:sz w:val="32"/>
          <w:highlight w:val="none"/>
        </w:rPr>
      </w:pPr>
    </w:p>
    <w:p w14:paraId="4AB7FCF0">
      <w:pPr>
        <w:pStyle w:val="6"/>
        <w:rPr>
          <w:highlight w:val="none"/>
        </w:rPr>
      </w:pPr>
    </w:p>
    <w:p w14:paraId="3AE27E57">
      <w:pPr>
        <w:pStyle w:val="2"/>
        <w:rPr>
          <w:rFonts w:ascii="宋体" w:hAnsi="宋体"/>
          <w:sz w:val="32"/>
          <w:highlight w:val="none"/>
        </w:rPr>
      </w:pPr>
    </w:p>
    <w:p w14:paraId="20637524">
      <w:pPr>
        <w:rPr>
          <w:rFonts w:ascii="宋体" w:hAnsi="宋体"/>
          <w:sz w:val="32"/>
          <w:highlight w:val="none"/>
        </w:rPr>
      </w:pPr>
    </w:p>
    <w:p w14:paraId="4FC3F170">
      <w:pPr>
        <w:pStyle w:val="2"/>
        <w:rPr>
          <w:rFonts w:ascii="宋体" w:hAnsi="宋体"/>
          <w:sz w:val="32"/>
          <w:highlight w:val="none"/>
        </w:rPr>
      </w:pPr>
    </w:p>
    <w:p w14:paraId="41CD67AA">
      <w:pPr>
        <w:pStyle w:val="11"/>
        <w:ind w:firstLine="0"/>
        <w:rPr>
          <w:highlight w:val="none"/>
        </w:rPr>
      </w:pPr>
    </w:p>
    <w:p w14:paraId="72721B32">
      <w:pPr>
        <w:pStyle w:val="11"/>
        <w:ind w:left="0" w:leftChars="0" w:firstLine="0" w:firstLineChars="0"/>
        <w:rPr>
          <w:highlight w:val="none"/>
        </w:rPr>
      </w:pPr>
    </w:p>
    <w:p w14:paraId="308A1658">
      <w:pPr>
        <w:pStyle w:val="2"/>
        <w:ind w:firstLine="643" w:firstLineChars="200"/>
        <w:jc w:val="center"/>
        <w:rPr>
          <w:rFonts w:hint="default" w:ascii="黑体" w:hAnsi="黑体" w:eastAsia="黑体" w:cs="黑体"/>
          <w:b/>
          <w:sz w:val="32"/>
          <w:highlight w:val="none"/>
          <w:lang w:val="en-US" w:eastAsia="zh-CN"/>
        </w:rPr>
      </w:pPr>
      <w:r>
        <w:rPr>
          <w:rFonts w:hint="eastAsia" w:ascii="黑体" w:hAnsi="黑体" w:eastAsia="黑体" w:cs="黑体"/>
          <w:b/>
          <w:sz w:val="32"/>
          <w:highlight w:val="none"/>
        </w:rPr>
        <w:t>采购人：江苏</w:t>
      </w:r>
      <w:r>
        <w:rPr>
          <w:rFonts w:hint="eastAsia" w:ascii="黑体" w:hAnsi="黑体" w:eastAsia="黑体" w:cs="黑体"/>
          <w:b/>
          <w:sz w:val="32"/>
          <w:highlight w:val="none"/>
          <w:lang w:val="en-US" w:eastAsia="zh-CN"/>
        </w:rPr>
        <w:t>煤炭地质勘探三队</w:t>
      </w:r>
    </w:p>
    <w:p w14:paraId="4D5C2449">
      <w:pPr>
        <w:jc w:val="center"/>
        <w:rPr>
          <w:rFonts w:ascii="黑体" w:hAnsi="黑体" w:eastAsia="黑体" w:cs="黑体"/>
          <w:b/>
          <w:sz w:val="32"/>
          <w:highlight w:val="none"/>
        </w:rPr>
      </w:pPr>
      <w:r>
        <w:rPr>
          <w:rFonts w:hint="eastAsia" w:ascii="黑体" w:hAnsi="黑体" w:eastAsia="黑体" w:cs="黑体"/>
          <w:b/>
          <w:sz w:val="32"/>
          <w:highlight w:val="none"/>
        </w:rPr>
        <w:t>二〇二</w:t>
      </w:r>
      <w:r>
        <w:rPr>
          <w:rFonts w:hint="eastAsia" w:ascii="黑体" w:hAnsi="黑体" w:eastAsia="黑体" w:cs="黑体"/>
          <w:b/>
          <w:sz w:val="32"/>
          <w:highlight w:val="none"/>
          <w:lang w:val="en-US" w:eastAsia="zh-CN"/>
        </w:rPr>
        <w:t>六年五</w:t>
      </w:r>
      <w:r>
        <w:rPr>
          <w:rFonts w:hint="eastAsia" w:ascii="黑体" w:hAnsi="黑体" w:eastAsia="黑体" w:cs="黑体"/>
          <w:b/>
          <w:sz w:val="32"/>
          <w:highlight w:val="none"/>
        </w:rPr>
        <w:t>月</w:t>
      </w:r>
    </w:p>
    <w:p w14:paraId="40EE2538">
      <w:pPr>
        <w:jc w:val="center"/>
        <w:rPr>
          <w:rFonts w:ascii="宋体" w:hAnsi="宋体"/>
          <w:highlight w:val="none"/>
        </w:rPr>
      </w:pPr>
    </w:p>
    <w:p w14:paraId="648DC18F">
      <w:pPr>
        <w:pStyle w:val="17"/>
        <w:jc w:val="center"/>
        <w:rPr>
          <w:rFonts w:ascii="宋体" w:hAnsi="宋体" w:eastAsia="宋体"/>
          <w:b/>
          <w:color w:val="auto"/>
          <w:kern w:val="2"/>
          <w:sz w:val="44"/>
          <w:szCs w:val="20"/>
          <w:highlight w:val="none"/>
        </w:rPr>
        <w:sectPr>
          <w:footerReference r:id="rId3" w:type="default"/>
          <w:pgSz w:w="11900" w:h="16840"/>
          <w:pgMar w:top="1570" w:right="1338" w:bottom="1616" w:left="1684" w:header="1481" w:footer="1531" w:gutter="0"/>
          <w:pgNumType w:start="1"/>
          <w:cols w:space="720" w:num="1"/>
          <w:docGrid w:linePitch="360" w:charSpace="0"/>
        </w:sectPr>
      </w:pPr>
    </w:p>
    <w:p w14:paraId="5C1A6E94">
      <w:pPr>
        <w:pStyle w:val="9"/>
        <w:rPr>
          <w:color w:val="auto"/>
          <w:highlight w:val="none"/>
        </w:rPr>
      </w:pPr>
    </w:p>
    <w:bookmarkEnd w:id="0"/>
    <w:p w14:paraId="75B36496">
      <w:pPr>
        <w:spacing w:line="360" w:lineRule="auto"/>
        <w:jc w:val="center"/>
        <w:rPr>
          <w:rFonts w:hint="eastAsia" w:ascii="仿宋_GB2312" w:hAnsi="仿宋_GB2312" w:eastAsia="仿宋_GB2312" w:cs="仿宋_GB2312"/>
          <w:b/>
          <w:bCs/>
          <w:snapToGrid w:val="0"/>
          <w:color w:val="000000"/>
          <w:kern w:val="0"/>
          <w:sz w:val="44"/>
          <w:szCs w:val="44"/>
          <w:highlight w:val="none"/>
          <w:lang w:val="en-US" w:eastAsia="zh-CN" w:bidi="ar-SA"/>
        </w:rPr>
      </w:pPr>
      <w:bookmarkStart w:id="3" w:name="_Toc24572"/>
      <w:bookmarkStart w:id="4" w:name="_Toc8924"/>
      <w:bookmarkStart w:id="5" w:name="_Toc20708"/>
      <w:r>
        <w:rPr>
          <w:rFonts w:hint="eastAsia" w:ascii="仿宋_GB2312" w:hAnsi="仿宋_GB2312" w:eastAsia="仿宋_GB2312" w:cs="仿宋_GB2312"/>
          <w:b/>
          <w:bCs/>
          <w:snapToGrid w:val="0"/>
          <w:color w:val="000000"/>
          <w:kern w:val="0"/>
          <w:sz w:val="44"/>
          <w:szCs w:val="44"/>
          <w:highlight w:val="none"/>
          <w:lang w:val="en-US" w:eastAsia="zh-CN" w:bidi="ar-SA"/>
        </w:rPr>
        <w:t>第一章 江苏煤炭地质勘探三队固原吊装运输服务采购竞争谈判公告</w:t>
      </w:r>
      <w:bookmarkEnd w:id="3"/>
      <w:bookmarkEnd w:id="4"/>
      <w:bookmarkEnd w:id="5"/>
    </w:p>
    <w:p w14:paraId="177BDF41">
      <w:pPr>
        <w:rPr>
          <w:highlight w:val="none"/>
        </w:rPr>
      </w:pPr>
    </w:p>
    <w:p w14:paraId="20BAEAE5">
      <w:pPr>
        <w:spacing w:line="520" w:lineRule="exact"/>
        <w:ind w:firstLine="640" w:firstLineChars="200"/>
        <w:rPr>
          <w:rFonts w:ascii="黑体" w:hAnsi="黑体" w:eastAsia="黑体"/>
          <w:sz w:val="32"/>
          <w:szCs w:val="32"/>
          <w:highlight w:val="none"/>
        </w:rPr>
      </w:pPr>
      <w:bookmarkStart w:id="6" w:name="_Toc30393"/>
      <w:bookmarkStart w:id="7" w:name="_Toc97794043"/>
      <w:bookmarkStart w:id="8" w:name="_Toc11379"/>
      <w:r>
        <w:rPr>
          <w:rFonts w:hint="eastAsia" w:ascii="黑体" w:hAnsi="黑体" w:eastAsia="黑体"/>
          <w:sz w:val="32"/>
          <w:szCs w:val="32"/>
          <w:highlight w:val="none"/>
        </w:rPr>
        <w:t>一、采购概况</w:t>
      </w:r>
    </w:p>
    <w:p w14:paraId="6D266C6C">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1.项目名称：江苏煤炭地质勘探三队固原吊装运输服务采购</w:t>
      </w:r>
    </w:p>
    <w:p w14:paraId="31082066">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2.采购内容：</w:t>
      </w:r>
      <w:r>
        <w:rPr>
          <w:rFonts w:hint="eastAsia" w:ascii="仿宋_GB2312" w:hAnsi="仿宋_GB2312" w:eastAsia="仿宋_GB2312" w:cs="仿宋_GB2312"/>
          <w:snapToGrid w:val="0"/>
          <w:color w:val="000000"/>
          <w:kern w:val="0"/>
          <w:sz w:val="32"/>
          <w:szCs w:val="32"/>
          <w:highlight w:val="none"/>
          <w:lang w:val="en-US" w:eastAsia="zh-CN" w:bidi="ar-SA"/>
        </w:rPr>
        <w:t>本次采购项目为吊装运输年度采购，预计18.4万元，具体根据实际使用数量据实结算。</w:t>
      </w:r>
    </w:p>
    <w:p w14:paraId="540A5BFE">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3.项目地点：固原</w:t>
      </w:r>
    </w:p>
    <w:p w14:paraId="627F1620">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4.吊车载重标准：25T吊车，50T吊车</w:t>
      </w:r>
    </w:p>
    <w:p w14:paraId="58318FEE">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卡车：9.6米卡车</w:t>
      </w:r>
    </w:p>
    <w:p w14:paraId="1725F0AD">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5.交货期限：</w:t>
      </w:r>
      <w:r>
        <w:rPr>
          <w:rFonts w:hint="eastAsia" w:ascii="仿宋_GB2312" w:hAnsi="仿宋_GB2312" w:eastAsia="仿宋_GB2312" w:cs="仿宋_GB2312"/>
          <w:snapToGrid w:val="0"/>
          <w:color w:val="000000"/>
          <w:kern w:val="0"/>
          <w:sz w:val="32"/>
          <w:szCs w:val="32"/>
          <w:highlight w:val="none"/>
          <w:lang w:val="en-US" w:eastAsia="zh-CN" w:bidi="ar-SA"/>
        </w:rPr>
        <w:t>根据采购人工程施工要求，在接到采购人电话通知起2小时之内到达指定地点。</w:t>
      </w:r>
    </w:p>
    <w:p w14:paraId="50223E17">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6.资金来源：自有资金</w:t>
      </w:r>
    </w:p>
    <w:p w14:paraId="1C4754E4">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7.采购编号：ZMCJ02CG20260041</w:t>
      </w:r>
    </w:p>
    <w:p w14:paraId="1E6742C6">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8.成交通知方式：书面通知中标人。</w:t>
      </w:r>
    </w:p>
    <w:p w14:paraId="03DC0D9B">
      <w:pPr>
        <w:pStyle w:val="10"/>
        <w:widowControl/>
        <w:shd w:val="clear" w:color="auto" w:fill="FFFFFF"/>
        <w:spacing w:beforeAutospacing="0" w:afterAutospacing="0" w:line="520" w:lineRule="exact"/>
        <w:ind w:firstLine="640" w:firstLineChars="200"/>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9.评审办法为合理低价中标法。</w:t>
      </w:r>
    </w:p>
    <w:p w14:paraId="6B7898FA">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10.其他要求详见谈判文件。</w:t>
      </w:r>
    </w:p>
    <w:p w14:paraId="434A4636">
      <w:pPr>
        <w:pStyle w:val="10"/>
        <w:widowControl/>
        <w:shd w:val="clear" w:color="auto" w:fill="FFFFFF"/>
        <w:spacing w:beforeAutospacing="0" w:afterAutospacing="0" w:line="520" w:lineRule="exact"/>
        <w:ind w:firstLine="640" w:firstLineChars="200"/>
        <w:rPr>
          <w:rFonts w:ascii="黑体" w:hAnsi="黑体" w:eastAsia="黑体"/>
          <w:kern w:val="2"/>
          <w:sz w:val="32"/>
          <w:szCs w:val="32"/>
          <w:highlight w:val="none"/>
        </w:rPr>
      </w:pPr>
      <w:r>
        <w:rPr>
          <w:rFonts w:hint="eastAsia" w:ascii="黑体" w:hAnsi="黑体" w:eastAsia="黑体"/>
          <w:kern w:val="2"/>
          <w:sz w:val="32"/>
          <w:szCs w:val="32"/>
          <w:highlight w:val="none"/>
        </w:rPr>
        <w:t>二、合格谈判响应人的基本资质要求</w:t>
      </w:r>
    </w:p>
    <w:p w14:paraId="73E64BB9">
      <w:pPr>
        <w:spacing w:line="560" w:lineRule="exact"/>
        <w:ind w:firstLine="640" w:firstLineChars="200"/>
        <w:rPr>
          <w:rFonts w:hint="eastAsia" w:ascii="仿宋_GB2312" w:hAnsi="宋体" w:eastAsia="仿宋_GB2312" w:cs="Times New Roman"/>
          <w:snapToGrid w:val="0"/>
          <w:kern w:val="2"/>
          <w:sz w:val="32"/>
          <w:szCs w:val="32"/>
          <w:highlight w:val="none"/>
          <w:lang w:val="en-US" w:eastAsia="zh-CN" w:bidi="ar-SA"/>
        </w:rPr>
      </w:pPr>
      <w:bookmarkStart w:id="9" w:name="OLE_LINK12"/>
      <w:r>
        <w:rPr>
          <w:rFonts w:hint="eastAsia" w:ascii="仿宋_GB2312" w:hAnsi="宋体" w:eastAsia="仿宋_GB2312" w:cs="Times New Roman"/>
          <w:snapToGrid w:val="0"/>
          <w:kern w:val="2"/>
          <w:sz w:val="32"/>
          <w:szCs w:val="32"/>
          <w:highlight w:val="none"/>
          <w:lang w:val="en-US" w:eastAsia="zh-CN" w:bidi="ar-SA"/>
        </w:rPr>
        <w:t>1.营业范围要求:响应人应为在中华人民共和国境内注册的独立法人，具有独立承担民事责任能力，须提供具有合法、有效的“三证合一”的营业执照，营业执照中经营范围要涵盖汽车运输、吊装等相关业务。</w:t>
      </w:r>
    </w:p>
    <w:p w14:paraId="19BA198C">
      <w:pPr>
        <w:spacing w:line="560" w:lineRule="exact"/>
        <w:ind w:firstLine="640" w:firstLineChars="200"/>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2.财务要求：响应人要有依法纳税的良好记录，财务、资信状况良好，满足履行本项目的需要。</w:t>
      </w:r>
    </w:p>
    <w:p w14:paraId="7C2EC161">
      <w:pPr>
        <w:spacing w:line="560" w:lineRule="exact"/>
        <w:ind w:firstLine="640" w:firstLineChars="200"/>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3.谈判响应人持证作业人员（吊装单位必须具有信号司索、起重机操作等持证人员）及有效期内的意外伤害险或雇主责任险。具备国家行政部门颁发的《道路运输经营许可证》。</w:t>
      </w:r>
    </w:p>
    <w:p w14:paraId="05F3C4F9">
      <w:pPr>
        <w:spacing w:line="560" w:lineRule="exact"/>
        <w:ind w:firstLine="640" w:firstLineChars="200"/>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4.业绩要求：2023年01月01日至响应截止时间提供同类销售相关业绩的合同。</w:t>
      </w:r>
    </w:p>
    <w:p w14:paraId="44FE36CD">
      <w:pPr>
        <w:spacing w:line="560" w:lineRule="exact"/>
        <w:ind w:firstLine="640" w:firstLineChars="200"/>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5.具备履行合同所需的人员和设备；</w:t>
      </w:r>
    </w:p>
    <w:p w14:paraId="05B87738">
      <w:pPr>
        <w:spacing w:line="560" w:lineRule="exact"/>
        <w:ind w:firstLine="640" w:firstLineChars="200"/>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6.响应人在近三年内（2023年01月01日至响应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68C8056E">
      <w:pPr>
        <w:spacing w:line="560" w:lineRule="exact"/>
        <w:ind w:firstLine="640" w:firstLineChars="200"/>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7.响应人不得与采购人存在利益关系，包括但不限于采购人领导和关键岗位人员持有响应人股权、在响应人中任职、存在亲属关系等。</w:t>
      </w:r>
    </w:p>
    <w:p w14:paraId="4F5E9407">
      <w:pPr>
        <w:spacing w:line="560" w:lineRule="exact"/>
        <w:ind w:firstLine="640" w:firstLineChars="200"/>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8.具有投资参股关系的关联企业，或具有直接管理或被管理关系的母子公司，或同一母公司的子公司，或法定代表人为同一人的两个及两个以上法人不得同时参与投标。</w:t>
      </w:r>
    </w:p>
    <w:p w14:paraId="081B1C3A">
      <w:pPr>
        <w:spacing w:line="560" w:lineRule="exact"/>
        <w:ind w:firstLine="640" w:firstLineChars="200"/>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9. 本次采购不接受联合体投标。</w:t>
      </w:r>
    </w:p>
    <w:p w14:paraId="65B71974">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三、主要日程安排</w:t>
      </w:r>
    </w:p>
    <w:p w14:paraId="288C681B">
      <w:pPr>
        <w:spacing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谈判公告、谈判文件及有关补遗和答疑文件相关事项在江苏</w:t>
      </w:r>
      <w:r>
        <w:rPr>
          <w:rFonts w:hint="eastAsia" w:ascii="仿宋_GB2312" w:hAnsi="宋体" w:eastAsia="仿宋_GB2312"/>
          <w:snapToGrid w:val="0"/>
          <w:kern w:val="2"/>
          <w:sz w:val="32"/>
          <w:szCs w:val="32"/>
          <w:highlight w:val="none"/>
          <w:lang w:val="en-US" w:eastAsia="zh-CN"/>
        </w:rPr>
        <w:t>煤炭地质勘探三队</w:t>
      </w:r>
      <w:r>
        <w:rPr>
          <w:rFonts w:hint="eastAsia" w:ascii="仿宋_GB2312" w:hAnsi="宋体" w:eastAsia="仿宋_GB2312"/>
          <w:snapToGrid w:val="0"/>
          <w:kern w:val="2"/>
          <w:sz w:val="32"/>
          <w:szCs w:val="32"/>
          <w:highlight w:val="none"/>
        </w:rPr>
        <w:t>网站（http://www.smdksd.com/）发布。</w:t>
      </w:r>
    </w:p>
    <w:p w14:paraId="06CFEE79">
      <w:pPr>
        <w:spacing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1.凡有意参加投标者，请于202</w:t>
      </w:r>
      <w:r>
        <w:rPr>
          <w:rFonts w:hint="eastAsia" w:ascii="仿宋_GB2312" w:hAnsi="宋体" w:eastAsia="仿宋_GB2312"/>
          <w:snapToGrid w:val="0"/>
          <w:kern w:val="2"/>
          <w:sz w:val="32"/>
          <w:szCs w:val="32"/>
          <w:highlight w:val="none"/>
          <w:lang w:val="en-US" w:eastAsia="zh-CN"/>
        </w:rPr>
        <w:t>6</w:t>
      </w:r>
      <w:r>
        <w:rPr>
          <w:rFonts w:hint="eastAsia" w:ascii="仿宋_GB2312" w:hAnsi="宋体" w:eastAsia="仿宋_GB2312"/>
          <w:snapToGrid w:val="0"/>
          <w:kern w:val="2"/>
          <w:sz w:val="32"/>
          <w:szCs w:val="32"/>
          <w:highlight w:val="none"/>
        </w:rPr>
        <w:t>年</w:t>
      </w:r>
      <w:r>
        <w:rPr>
          <w:rFonts w:hint="eastAsia" w:ascii="仿宋_GB2312" w:hAnsi="宋体" w:eastAsia="仿宋_GB2312"/>
          <w:snapToGrid w:val="0"/>
          <w:kern w:val="2"/>
          <w:sz w:val="32"/>
          <w:szCs w:val="32"/>
          <w:highlight w:val="none"/>
          <w:lang w:val="en-US" w:eastAsia="zh-CN"/>
        </w:rPr>
        <w:t>5</w:t>
      </w:r>
      <w:r>
        <w:rPr>
          <w:rFonts w:hint="eastAsia" w:ascii="仿宋_GB2312" w:hAnsi="宋体" w:eastAsia="仿宋_GB2312"/>
          <w:snapToGrid w:val="0"/>
          <w:kern w:val="2"/>
          <w:sz w:val="32"/>
          <w:szCs w:val="32"/>
          <w:highlight w:val="none"/>
        </w:rPr>
        <w:t>月2</w:t>
      </w:r>
      <w:r>
        <w:rPr>
          <w:rFonts w:hint="eastAsia" w:ascii="仿宋_GB2312" w:hAnsi="宋体" w:eastAsia="仿宋_GB2312"/>
          <w:snapToGrid w:val="0"/>
          <w:kern w:val="2"/>
          <w:sz w:val="32"/>
          <w:szCs w:val="32"/>
          <w:highlight w:val="none"/>
          <w:lang w:val="en-US" w:eastAsia="zh-CN"/>
        </w:rPr>
        <w:t>9</w:t>
      </w:r>
      <w:r>
        <w:rPr>
          <w:rFonts w:hint="eastAsia" w:ascii="仿宋_GB2312" w:hAnsi="宋体" w:eastAsia="仿宋_GB2312"/>
          <w:snapToGrid w:val="0"/>
          <w:kern w:val="2"/>
          <w:sz w:val="32"/>
          <w:szCs w:val="32"/>
          <w:highlight w:val="none"/>
        </w:rPr>
        <w:t>日上午9：00前，将</w:t>
      </w:r>
      <w:r>
        <w:rPr>
          <w:rFonts w:hint="eastAsia" w:ascii="仿宋_GB2312" w:hAnsi="宋体" w:eastAsia="仿宋_GB2312"/>
          <w:snapToGrid w:val="0"/>
          <w:kern w:val="2"/>
          <w:sz w:val="32"/>
          <w:szCs w:val="32"/>
          <w:highlight w:val="none"/>
          <w:lang w:val="en-US" w:eastAsia="zh-CN"/>
        </w:rPr>
        <w:t>响应文件</w:t>
      </w:r>
      <w:r>
        <w:rPr>
          <w:rFonts w:hint="eastAsia" w:ascii="仿宋_GB2312" w:hAnsi="宋体" w:eastAsia="仿宋_GB2312"/>
          <w:snapToGrid w:val="0"/>
          <w:kern w:val="2"/>
          <w:sz w:val="32"/>
          <w:szCs w:val="32"/>
          <w:highlight w:val="none"/>
        </w:rPr>
        <w:t>邮寄或者人工送达的方式，送至常州市和电路10号。</w:t>
      </w:r>
    </w:p>
    <w:p w14:paraId="703FB91C">
      <w:pPr>
        <w:spacing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2.开标：202</w:t>
      </w:r>
      <w:r>
        <w:rPr>
          <w:rFonts w:hint="eastAsia" w:ascii="仿宋_GB2312" w:hAnsi="宋体" w:eastAsia="仿宋_GB2312"/>
          <w:snapToGrid w:val="0"/>
          <w:kern w:val="2"/>
          <w:sz w:val="32"/>
          <w:szCs w:val="32"/>
          <w:highlight w:val="none"/>
          <w:lang w:val="en-US" w:eastAsia="zh-CN"/>
        </w:rPr>
        <w:t>6</w:t>
      </w:r>
      <w:r>
        <w:rPr>
          <w:rFonts w:hint="eastAsia" w:ascii="仿宋_GB2312" w:hAnsi="宋体" w:eastAsia="仿宋_GB2312"/>
          <w:snapToGrid w:val="0"/>
          <w:kern w:val="2"/>
          <w:sz w:val="32"/>
          <w:szCs w:val="32"/>
          <w:highlight w:val="none"/>
        </w:rPr>
        <w:t>年</w:t>
      </w:r>
      <w:r>
        <w:rPr>
          <w:rFonts w:hint="eastAsia" w:ascii="仿宋_GB2312" w:hAnsi="宋体" w:eastAsia="仿宋_GB2312"/>
          <w:snapToGrid w:val="0"/>
          <w:kern w:val="2"/>
          <w:sz w:val="32"/>
          <w:szCs w:val="32"/>
          <w:highlight w:val="none"/>
          <w:lang w:val="en-US" w:eastAsia="zh-CN"/>
        </w:rPr>
        <w:t>5</w:t>
      </w:r>
      <w:r>
        <w:rPr>
          <w:rFonts w:hint="eastAsia" w:ascii="仿宋_GB2312" w:hAnsi="宋体" w:eastAsia="仿宋_GB2312"/>
          <w:snapToGrid w:val="0"/>
          <w:kern w:val="2"/>
          <w:sz w:val="32"/>
          <w:szCs w:val="32"/>
          <w:highlight w:val="none"/>
        </w:rPr>
        <w:t>月2</w:t>
      </w:r>
      <w:r>
        <w:rPr>
          <w:rFonts w:hint="eastAsia" w:ascii="仿宋_GB2312" w:hAnsi="宋体" w:eastAsia="仿宋_GB2312"/>
          <w:snapToGrid w:val="0"/>
          <w:kern w:val="2"/>
          <w:sz w:val="32"/>
          <w:szCs w:val="32"/>
          <w:highlight w:val="none"/>
          <w:lang w:val="en-US" w:eastAsia="zh-CN"/>
        </w:rPr>
        <w:t>9</w:t>
      </w:r>
      <w:r>
        <w:rPr>
          <w:rFonts w:hint="eastAsia" w:ascii="仿宋_GB2312" w:hAnsi="宋体" w:eastAsia="仿宋_GB2312"/>
          <w:snapToGrid w:val="0"/>
          <w:kern w:val="2"/>
          <w:sz w:val="32"/>
          <w:szCs w:val="32"/>
          <w:highlight w:val="none"/>
        </w:rPr>
        <w:t>日上午9：00(北京时间)在江苏省常州市天宁区和电路10号三楼会议室开标。</w:t>
      </w:r>
    </w:p>
    <w:p w14:paraId="4D13DCB1">
      <w:pPr>
        <w:spacing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递交地点：常州市和电路10号。</w:t>
      </w:r>
    </w:p>
    <w:p w14:paraId="0F7BCFAB">
      <w:pPr>
        <w:spacing w:line="560" w:lineRule="exact"/>
        <w:ind w:firstLine="640" w:firstLineChars="200"/>
        <w:rPr>
          <w:rFonts w:ascii="黑体" w:hAnsi="黑体" w:eastAsia="黑体"/>
          <w:sz w:val="32"/>
          <w:szCs w:val="32"/>
          <w:highlight w:val="none"/>
        </w:rPr>
      </w:pPr>
      <w:r>
        <w:rPr>
          <w:rFonts w:hint="eastAsia" w:ascii="仿宋_GB2312" w:hAnsi="宋体" w:eastAsia="仿宋_GB2312"/>
          <w:snapToGrid w:val="0"/>
          <w:kern w:val="2"/>
          <w:sz w:val="32"/>
          <w:szCs w:val="32"/>
          <w:highlight w:val="none"/>
        </w:rPr>
        <w:t>上述安排如有变化，采购人将视情况在公司官网发布通知。</w:t>
      </w:r>
      <w:r>
        <w:rPr>
          <w:rFonts w:hint="eastAsia" w:ascii="黑体" w:hAnsi="黑体" w:eastAsia="黑体"/>
          <w:sz w:val="32"/>
          <w:szCs w:val="32"/>
          <w:highlight w:val="none"/>
        </w:rPr>
        <w:t>四、采购方及联系方式</w:t>
      </w:r>
    </w:p>
    <w:p w14:paraId="58DA345C">
      <w:pPr>
        <w:widowControl/>
        <w:spacing w:line="560" w:lineRule="exact"/>
        <w:ind w:firstLine="640" w:firstLineChars="200"/>
        <w:jc w:val="left"/>
        <w:rPr>
          <w:rFonts w:hint="eastAsia" w:ascii="仿宋_GB2312" w:hAnsi="宋体" w:eastAsia="仿宋_GB2312"/>
          <w:snapToGrid w:val="0"/>
          <w:sz w:val="32"/>
          <w:szCs w:val="32"/>
          <w:highlight w:val="none"/>
          <w:lang w:val="en-US" w:eastAsia="zh-CN"/>
        </w:rPr>
      </w:pPr>
      <w:r>
        <w:rPr>
          <w:rFonts w:hint="eastAsia" w:ascii="仿宋_GB2312" w:hAnsi="宋体" w:eastAsia="仿宋_GB2312"/>
          <w:snapToGrid w:val="0"/>
          <w:sz w:val="32"/>
          <w:szCs w:val="32"/>
          <w:highlight w:val="none"/>
        </w:rPr>
        <w:t>采购方：江苏</w:t>
      </w:r>
      <w:r>
        <w:rPr>
          <w:rFonts w:hint="eastAsia" w:ascii="仿宋_GB2312" w:hAnsi="宋体" w:eastAsia="仿宋_GB2312"/>
          <w:snapToGrid w:val="0"/>
          <w:sz w:val="32"/>
          <w:szCs w:val="32"/>
          <w:highlight w:val="none"/>
          <w:lang w:val="en-US" w:eastAsia="zh-CN"/>
        </w:rPr>
        <w:t>煤炭地质勘探三队</w:t>
      </w:r>
    </w:p>
    <w:p w14:paraId="0105C29F">
      <w:pPr>
        <w:widowControl/>
        <w:spacing w:line="560" w:lineRule="exact"/>
        <w:ind w:firstLine="640" w:firstLineChars="200"/>
        <w:jc w:val="left"/>
        <w:rPr>
          <w:rFonts w:hint="eastAsia"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地址：江苏省常州市天宁区和电路10号</w:t>
      </w:r>
    </w:p>
    <w:p w14:paraId="052C2CD7">
      <w:pPr>
        <w:widowControl/>
        <w:spacing w:line="560" w:lineRule="exact"/>
        <w:ind w:firstLine="640" w:firstLineChars="200"/>
        <w:jc w:val="left"/>
        <w:rPr>
          <w:rFonts w:hint="eastAsia"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 xml:space="preserve">联系人：乔工 </w:t>
      </w:r>
      <w:r>
        <w:rPr>
          <w:rFonts w:hint="eastAsia" w:ascii="仿宋_GB2312" w:hAnsi="宋体" w:eastAsia="仿宋_GB2312"/>
          <w:snapToGrid w:val="0"/>
          <w:sz w:val="32"/>
          <w:szCs w:val="32"/>
          <w:highlight w:val="none"/>
          <w:lang w:val="en-US" w:eastAsia="zh-CN"/>
        </w:rPr>
        <w:t xml:space="preserve">   </w:t>
      </w:r>
      <w:r>
        <w:rPr>
          <w:rFonts w:hint="eastAsia" w:ascii="仿宋_GB2312" w:hAnsi="宋体" w:eastAsia="仿宋_GB2312"/>
          <w:snapToGrid w:val="0"/>
          <w:sz w:val="32"/>
          <w:szCs w:val="32"/>
          <w:highlight w:val="none"/>
        </w:rPr>
        <w:t>电话：13584378541</w:t>
      </w:r>
    </w:p>
    <w:p w14:paraId="1B74671C">
      <w:pPr>
        <w:widowControl/>
        <w:spacing w:line="560" w:lineRule="exact"/>
        <w:ind w:firstLine="640" w:firstLineChars="200"/>
        <w:jc w:val="left"/>
        <w:rPr>
          <w:rFonts w:hint="default" w:ascii="仿宋_GB2312" w:hAnsi="宋体" w:eastAsia="仿宋_GB2312"/>
          <w:snapToGrid w:val="0"/>
          <w:sz w:val="32"/>
          <w:szCs w:val="32"/>
          <w:highlight w:val="none"/>
          <w:lang w:val="en-US" w:eastAsia="zh-CN"/>
        </w:rPr>
      </w:pPr>
      <w:r>
        <w:rPr>
          <w:rFonts w:hint="eastAsia" w:ascii="仿宋_GB2312" w:hAnsi="宋体" w:eastAsia="仿宋_GB2312"/>
          <w:snapToGrid w:val="0"/>
          <w:sz w:val="32"/>
          <w:szCs w:val="32"/>
          <w:highlight w:val="none"/>
        </w:rPr>
        <w:t>项目联系人：</w:t>
      </w:r>
      <w:r>
        <w:rPr>
          <w:rFonts w:hint="eastAsia" w:ascii="仿宋_GB2312" w:hAnsi="宋体" w:eastAsia="仿宋_GB2312"/>
          <w:snapToGrid w:val="0"/>
          <w:sz w:val="32"/>
          <w:szCs w:val="32"/>
          <w:highlight w:val="none"/>
          <w:lang w:val="en-US" w:eastAsia="zh-CN"/>
        </w:rPr>
        <w:t>丁小兵</w:t>
      </w:r>
      <w:r>
        <w:rPr>
          <w:rFonts w:hint="eastAsia" w:ascii="仿宋_GB2312" w:hAnsi="宋体" w:eastAsia="仿宋_GB2312"/>
          <w:snapToGrid w:val="0"/>
          <w:sz w:val="32"/>
          <w:szCs w:val="32"/>
          <w:highlight w:val="none"/>
        </w:rPr>
        <w:t xml:space="preserve"> </w:t>
      </w:r>
      <w:r>
        <w:rPr>
          <w:rFonts w:hint="eastAsia" w:ascii="仿宋_GB2312" w:hAnsi="宋体" w:eastAsia="仿宋_GB2312"/>
          <w:snapToGrid w:val="0"/>
          <w:sz w:val="32"/>
          <w:szCs w:val="32"/>
          <w:highlight w:val="none"/>
          <w:lang w:val="en-US" w:eastAsia="zh-CN"/>
        </w:rPr>
        <w:t xml:space="preserve">   </w:t>
      </w:r>
      <w:r>
        <w:rPr>
          <w:rFonts w:hint="eastAsia" w:ascii="仿宋_GB2312" w:hAnsi="宋体" w:eastAsia="仿宋_GB2312"/>
          <w:snapToGrid w:val="0"/>
          <w:sz w:val="32"/>
          <w:szCs w:val="32"/>
          <w:highlight w:val="none"/>
        </w:rPr>
        <w:t>电话：</w:t>
      </w:r>
      <w:r>
        <w:rPr>
          <w:rFonts w:hint="eastAsia" w:ascii="仿宋_GB2312" w:hAnsi="宋体" w:eastAsia="仿宋_GB2312"/>
          <w:snapToGrid w:val="0"/>
          <w:sz w:val="32"/>
          <w:szCs w:val="32"/>
          <w:highlight w:val="none"/>
          <w:lang w:val="en-US" w:eastAsia="zh-CN"/>
        </w:rPr>
        <w:t>13921070062</w:t>
      </w:r>
    </w:p>
    <w:p w14:paraId="014AE58B">
      <w:pPr>
        <w:widowControl/>
        <w:spacing w:line="560"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五、采购监督部门</w:t>
      </w:r>
    </w:p>
    <w:p w14:paraId="654F7C42">
      <w:pPr>
        <w:pStyle w:val="2"/>
        <w:spacing w:after="0" w:line="560" w:lineRule="exact"/>
        <w:ind w:firstLine="640" w:firstLineChars="200"/>
        <w:rPr>
          <w:rFonts w:hint="default" w:ascii="仿宋_GB2312" w:hAnsi="宋体" w:eastAsia="仿宋_GB2312"/>
          <w:snapToGrid w:val="0"/>
          <w:sz w:val="32"/>
          <w:szCs w:val="32"/>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napToGrid w:val="0"/>
          <w:sz w:val="32"/>
          <w:szCs w:val="32"/>
          <w:highlight w:val="none"/>
          <w:lang w:val="en-US" w:eastAsia="zh-CN"/>
        </w:rPr>
        <w:t>纪检部门</w:t>
      </w:r>
      <w:r>
        <w:rPr>
          <w:rFonts w:hint="eastAsia" w:ascii="仿宋_GB2312" w:hAnsi="宋体" w:eastAsia="仿宋_GB2312"/>
          <w:snapToGrid w:val="0"/>
          <w:sz w:val="32"/>
          <w:szCs w:val="32"/>
          <w:highlight w:val="none"/>
        </w:rPr>
        <w:t xml:space="preserve">     电话：</w:t>
      </w:r>
      <w:r>
        <w:rPr>
          <w:rFonts w:hint="eastAsia" w:ascii="仿宋_GB2312" w:hAnsi="宋体" w:eastAsia="仿宋_GB2312"/>
          <w:sz w:val="32"/>
          <w:szCs w:val="32"/>
          <w:highlight w:val="none"/>
        </w:rPr>
        <w:t>0519-85302774</w:t>
      </w:r>
    </w:p>
    <w:bookmarkEnd w:id="9"/>
    <w:p w14:paraId="73ED90B5">
      <w:pPr>
        <w:pStyle w:val="3"/>
        <w:spacing w:before="0" w:after="0" w:line="240" w:lineRule="auto"/>
        <w:jc w:val="center"/>
        <w:rPr>
          <w:rFonts w:hint="eastAsia" w:ascii="黑体" w:hAnsi="黑体" w:eastAsia="黑体" w:cs="黑体"/>
          <w:b w:val="0"/>
          <w:bCs/>
          <w:sz w:val="44"/>
          <w:szCs w:val="44"/>
          <w:highlight w:val="none"/>
        </w:rPr>
      </w:pPr>
      <w:r>
        <w:rPr>
          <w:rFonts w:hint="eastAsia" w:ascii="Arial Unicode MS" w:hAnsi="仿宋_GB2312" w:eastAsia="Arial Unicode MS"/>
          <w:b w:val="0"/>
          <w:bCs/>
          <w:sz w:val="44"/>
          <w:szCs w:val="44"/>
          <w:highlight w:val="none"/>
        </w:rPr>
        <w:t>第二章 竞争谈判须知</w:t>
      </w:r>
      <w:bookmarkEnd w:id="6"/>
      <w:bookmarkEnd w:id="7"/>
      <w:bookmarkEnd w:id="8"/>
      <w:bookmarkStart w:id="10" w:name="_Toc18772"/>
      <w:bookmarkStart w:id="11" w:name="_Toc161767419"/>
      <w:bookmarkStart w:id="12" w:name="_Toc135998992"/>
    </w:p>
    <w:p w14:paraId="0D15A27C">
      <w:pPr>
        <w:pStyle w:val="2"/>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一、响应文件要求</w:t>
      </w:r>
    </w:p>
    <w:p w14:paraId="6210C206">
      <w:pPr>
        <w:pStyle w:val="2"/>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1.响应文件封面须加盖响应人印章。</w:t>
      </w:r>
    </w:p>
    <w:p w14:paraId="7E4E04F3">
      <w:pPr>
        <w:pStyle w:val="2"/>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2.报价函须由法定代表人（单位负责人）或委托代理人签字或加盖单位公章。响应文件一式 2份：其中正本 1 份、副本1份。</w:t>
      </w:r>
    </w:p>
    <w:p w14:paraId="26EBFA47">
      <w:pPr>
        <w:pStyle w:val="2"/>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报价函由法定代表人（单位负责人）签字的，应附法定代表人（单位负责人）身份证明，法定代表人（单位负责人）身份证明应加盖单位公章。报价函由代理人签字的，应附授权委托书，授权委托书应由法人签字并且加盖单位公章，被授权人签字。</w:t>
      </w:r>
    </w:p>
    <w:p w14:paraId="3ABE0E1E">
      <w:pPr>
        <w:pStyle w:val="2"/>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4.响应人应按照竞争谈判文件要求编制响应文件。</w:t>
      </w:r>
    </w:p>
    <w:p w14:paraId="16171CCF">
      <w:pPr>
        <w:pStyle w:val="2"/>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5.未能完全响应采购文件要求的响应文件视为无效。</w:t>
      </w:r>
    </w:p>
    <w:p w14:paraId="7BC2EBDE">
      <w:pPr>
        <w:pStyle w:val="2"/>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6.本次采购响应保证金：无。</w:t>
      </w:r>
    </w:p>
    <w:p w14:paraId="68EA74E6">
      <w:pPr>
        <w:pStyle w:val="2"/>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7.潜在响应人对采购文件有异议的，请向采购人提出，由采购联系人及时答复。</w:t>
      </w:r>
    </w:p>
    <w:p w14:paraId="08BF1F20">
      <w:pPr>
        <w:pStyle w:val="2"/>
        <w:pageBreakBefore w:val="0"/>
        <w:kinsoku/>
        <w:wordWrap/>
        <w:overflowPunct/>
        <w:topLinePunct w:val="0"/>
        <w:autoSpaceDE/>
        <w:autoSpaceDN/>
        <w:bidi w:val="0"/>
        <w:adjustRightInd/>
        <w:snapToGrid/>
        <w:spacing w:after="0" w:line="560" w:lineRule="exact"/>
        <w:ind w:firstLine="640" w:firstLineChars="200"/>
        <w:textAlignment w:val="auto"/>
        <w:rPr>
          <w:highlight w:val="none"/>
        </w:rPr>
      </w:pPr>
      <w:r>
        <w:rPr>
          <w:rFonts w:hint="eastAsia" w:ascii="仿宋_GB2312" w:hAnsi="宋体" w:eastAsia="仿宋_GB2312"/>
          <w:sz w:val="32"/>
          <w:szCs w:val="32"/>
          <w:highlight w:val="none"/>
          <w:lang w:val="en-US" w:eastAsia="zh-CN"/>
        </w:rPr>
        <w:t>8.</w:t>
      </w:r>
      <w:r>
        <w:rPr>
          <w:rFonts w:hint="eastAsia" w:ascii="仿宋_GB2312" w:hAnsi="宋体" w:eastAsia="仿宋_GB2312"/>
          <w:b/>
          <w:bCs/>
          <w:sz w:val="32"/>
          <w:szCs w:val="32"/>
          <w:highlight w:val="none"/>
          <w:lang w:val="en-US" w:eastAsia="zh-CN"/>
        </w:rPr>
        <w:t>未能完全响应谈判文件要求视为无效投标</w:t>
      </w:r>
    </w:p>
    <w:p w14:paraId="15491235">
      <w:pPr>
        <w:pStyle w:val="2"/>
        <w:pageBreakBefore w:val="0"/>
        <w:kinsoku/>
        <w:wordWrap/>
        <w:overflowPunct/>
        <w:topLinePunct w:val="0"/>
        <w:autoSpaceDE/>
        <w:autoSpaceDN/>
        <w:bidi w:val="0"/>
        <w:adjustRightInd/>
        <w:snapToGrid/>
        <w:spacing w:after="0" w:line="560" w:lineRule="exact"/>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二、报价说明</w:t>
      </w:r>
    </w:p>
    <w:p w14:paraId="6C8AF893">
      <w:pPr>
        <w:pStyle w:val="2"/>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1、</w:t>
      </w:r>
      <w:r>
        <w:rPr>
          <w:rFonts w:hint="eastAsia" w:ascii="仿宋_GB2312" w:hAnsi="宋体" w:eastAsia="仿宋_GB2312"/>
          <w:sz w:val="32"/>
          <w:szCs w:val="32"/>
          <w:highlight w:val="none"/>
          <w:lang w:eastAsia="zh-CN"/>
        </w:rPr>
        <w:t>响应人</w:t>
      </w:r>
      <w:r>
        <w:rPr>
          <w:rFonts w:hint="eastAsia" w:ascii="仿宋_GB2312" w:hAnsi="宋体" w:eastAsia="仿宋_GB2312"/>
          <w:sz w:val="32"/>
          <w:szCs w:val="32"/>
          <w:highlight w:val="none"/>
        </w:rPr>
        <w:t>的</w:t>
      </w:r>
      <w:r>
        <w:rPr>
          <w:rFonts w:hint="eastAsia" w:ascii="仿宋_GB2312" w:hAnsi="宋体" w:eastAsia="仿宋_GB2312"/>
          <w:sz w:val="32"/>
          <w:szCs w:val="32"/>
          <w:highlight w:val="none"/>
          <w:lang w:val="en-US" w:eastAsia="zh-CN"/>
        </w:rPr>
        <w:t>响应</w:t>
      </w:r>
      <w:r>
        <w:rPr>
          <w:rFonts w:hint="eastAsia" w:ascii="仿宋_GB2312" w:hAnsi="宋体" w:eastAsia="仿宋_GB2312"/>
          <w:sz w:val="32"/>
          <w:szCs w:val="32"/>
          <w:highlight w:val="none"/>
        </w:rPr>
        <w:t>报价应是</w:t>
      </w:r>
      <w:r>
        <w:rPr>
          <w:rFonts w:hint="eastAsia" w:ascii="仿宋_GB2312" w:hAnsi="宋体" w:eastAsia="仿宋_GB2312"/>
          <w:sz w:val="32"/>
          <w:szCs w:val="32"/>
          <w:highlight w:val="none"/>
          <w:lang w:val="en-US" w:eastAsia="zh-CN"/>
        </w:rPr>
        <w:t>谈判</w:t>
      </w:r>
      <w:r>
        <w:rPr>
          <w:rFonts w:hint="eastAsia" w:ascii="仿宋_GB2312" w:hAnsi="宋体" w:eastAsia="仿宋_GB2312"/>
          <w:sz w:val="32"/>
          <w:szCs w:val="32"/>
          <w:highlight w:val="none"/>
        </w:rPr>
        <w:t>文件所确定的</w:t>
      </w:r>
      <w:r>
        <w:rPr>
          <w:rFonts w:hint="eastAsia" w:ascii="仿宋_GB2312" w:hAnsi="宋体" w:eastAsia="仿宋_GB2312"/>
          <w:sz w:val="32"/>
          <w:szCs w:val="32"/>
          <w:highlight w:val="none"/>
          <w:lang w:val="en-US" w:eastAsia="zh-CN"/>
        </w:rPr>
        <w:t>采购</w:t>
      </w:r>
      <w:r>
        <w:rPr>
          <w:rFonts w:hint="eastAsia" w:ascii="仿宋_GB2312" w:hAnsi="宋体" w:eastAsia="仿宋_GB2312"/>
          <w:sz w:val="32"/>
          <w:szCs w:val="32"/>
          <w:highlight w:val="none"/>
        </w:rPr>
        <w:t>范围内全部内容的价格体现，报价方式采用固定单价，</w:t>
      </w:r>
      <w:r>
        <w:rPr>
          <w:rFonts w:hint="eastAsia" w:ascii="仿宋_GB2312" w:hAnsi="宋体" w:eastAsia="仿宋_GB2312" w:cs="Times New Roman"/>
          <w:color w:val="auto"/>
          <w:kern w:val="2"/>
          <w:sz w:val="32"/>
          <w:szCs w:val="32"/>
          <w:highlight w:val="none"/>
          <w:lang w:val="en-US" w:eastAsia="zh-CN" w:bidi="ar-SA"/>
        </w:rPr>
        <w:t>最终根据实际采购数量，单价不变，据实进行结算。</w:t>
      </w:r>
      <w:r>
        <w:rPr>
          <w:rFonts w:hint="eastAsia" w:ascii="仿宋_GB2312" w:hAnsi="宋体" w:eastAsia="仿宋_GB2312"/>
          <w:sz w:val="32"/>
          <w:szCs w:val="32"/>
          <w:highlight w:val="none"/>
        </w:rPr>
        <w:t>一旦中标，报价不予调整。</w:t>
      </w:r>
    </w:p>
    <w:p w14:paraId="455714DE">
      <w:pPr>
        <w:pStyle w:val="2"/>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2、每一项目只允许有一个报价，任何有选择的报价将不予接受。</w:t>
      </w:r>
    </w:p>
    <w:p w14:paraId="3CEE4CD1">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Arial Unicode MS" w:hAnsi="仿宋_GB2312" w:eastAsia="Arial Unicode MS" w:cs="Times New Roman"/>
          <w:b/>
          <w:bCs w:val="0"/>
          <w:color w:val="000000"/>
          <w:kern w:val="44"/>
          <w:sz w:val="44"/>
          <w:szCs w:val="44"/>
          <w:highlight w:val="none"/>
          <w:lang w:val="en-US" w:eastAsia="zh-CN" w:bidi="ar-SA"/>
        </w:rPr>
      </w:pPr>
      <w:r>
        <w:rPr>
          <w:rFonts w:hint="eastAsia" w:ascii="仿宋_GB2312" w:hAnsi="宋体" w:eastAsia="仿宋_GB2312" w:cs="Times New Roman"/>
          <w:b w:val="0"/>
          <w:color w:val="auto"/>
          <w:kern w:val="2"/>
          <w:sz w:val="32"/>
          <w:szCs w:val="32"/>
          <w:highlight w:val="none"/>
          <w:lang w:val="en-US" w:eastAsia="zh-CN" w:bidi="ar-SA"/>
        </w:rPr>
        <w:t>3、报价以元（人民币）为单位。</w:t>
      </w:r>
      <w:r>
        <w:rPr>
          <w:rFonts w:hint="eastAsia" w:ascii="Arial Unicode MS" w:hAnsi="仿宋_GB2312" w:eastAsia="Arial Unicode MS"/>
          <w:b w:val="0"/>
          <w:bCs/>
          <w:szCs w:val="44"/>
          <w:highlight w:val="none"/>
        </w:rPr>
        <w:br w:type="page"/>
      </w:r>
      <w:bookmarkEnd w:id="10"/>
      <w:bookmarkEnd w:id="11"/>
      <w:bookmarkEnd w:id="12"/>
      <w:bookmarkStart w:id="13" w:name="_Toc2782"/>
      <w:bookmarkStart w:id="14" w:name="_Toc96584967"/>
      <w:bookmarkStart w:id="15" w:name="_Toc414431079"/>
      <w:bookmarkStart w:id="16" w:name="_Toc96585093"/>
      <w:bookmarkStart w:id="17" w:name="_Toc16449"/>
      <w:bookmarkStart w:id="18" w:name="_Toc161767428"/>
      <w:bookmarkStart w:id="19" w:name="_Toc135999006"/>
      <w:r>
        <w:rPr>
          <w:rFonts w:hint="eastAsia" w:ascii="Arial Unicode MS" w:hAnsi="仿宋_GB2312" w:eastAsia="Arial Unicode MS" w:cs="Times New Roman"/>
          <w:b/>
          <w:bCs w:val="0"/>
          <w:color w:val="000000"/>
          <w:kern w:val="44"/>
          <w:sz w:val="44"/>
          <w:szCs w:val="44"/>
          <w:highlight w:val="none"/>
          <w:lang w:val="en-US" w:eastAsia="zh-CN" w:bidi="ar-SA"/>
        </w:rPr>
        <w:t>第三章 合同主</w:t>
      </w:r>
      <w:bookmarkStart w:id="31" w:name="_GoBack"/>
      <w:bookmarkEnd w:id="31"/>
      <w:r>
        <w:rPr>
          <w:rFonts w:hint="eastAsia" w:ascii="Arial Unicode MS" w:hAnsi="仿宋_GB2312" w:eastAsia="Arial Unicode MS" w:cs="Times New Roman"/>
          <w:b/>
          <w:bCs w:val="0"/>
          <w:color w:val="000000"/>
          <w:kern w:val="44"/>
          <w:sz w:val="44"/>
          <w:szCs w:val="44"/>
          <w:highlight w:val="none"/>
          <w:lang w:val="en-US" w:eastAsia="zh-CN" w:bidi="ar-SA"/>
        </w:rPr>
        <w:t>要条款及格式</w:t>
      </w:r>
    </w:p>
    <w:p w14:paraId="6FACCEDA">
      <w:pPr>
        <w:spacing w:line="720" w:lineRule="auto"/>
        <w:jc w:val="both"/>
        <w:textAlignment w:val="center"/>
        <w:rPr>
          <w:rFonts w:hint="default" w:ascii="宋体" w:hAnsi="宋体" w:eastAsia="宋体" w:cs="Arial"/>
          <w:kern w:val="0"/>
          <w:sz w:val="28"/>
          <w:szCs w:val="28"/>
          <w:highlight w:val="none"/>
          <w:lang w:val="en-US" w:eastAsia="zh-CN"/>
        </w:rPr>
      </w:pPr>
      <w:r>
        <w:rPr>
          <w:rFonts w:hint="eastAsia" w:ascii="宋体" w:hAnsi="宋体" w:cs="Arial"/>
          <w:kern w:val="0"/>
          <w:sz w:val="24"/>
          <w:highlight w:val="none"/>
        </w:rPr>
        <w:t>发包人（甲方）</w:t>
      </w:r>
      <w:r>
        <w:rPr>
          <w:rFonts w:hint="eastAsia" w:ascii="宋体" w:hAnsi="宋体" w:cs="Arial"/>
          <w:kern w:val="0"/>
          <w:sz w:val="24"/>
          <w:highlight w:val="none"/>
          <w:lang w:val="en-US" w:eastAsia="zh-CN"/>
        </w:rPr>
        <w:t>:</w:t>
      </w:r>
      <w:r>
        <w:rPr>
          <w:rFonts w:hint="eastAsia" w:ascii="宋体" w:hAnsi="宋体" w:eastAsia="宋体" w:cs="Arial"/>
          <w:kern w:val="0"/>
          <w:sz w:val="28"/>
          <w:szCs w:val="28"/>
          <w:highlight w:val="none"/>
          <w:lang w:val="en-US" w:eastAsia="zh-CN"/>
        </w:rPr>
        <w:t>江苏</w:t>
      </w:r>
      <w:r>
        <w:rPr>
          <w:rFonts w:hint="eastAsia" w:ascii="宋体" w:hAnsi="宋体" w:cs="Arial"/>
          <w:kern w:val="0"/>
          <w:sz w:val="28"/>
          <w:szCs w:val="28"/>
          <w:highlight w:val="none"/>
          <w:lang w:val="en-US" w:eastAsia="zh-CN"/>
        </w:rPr>
        <w:t>煤炭地质勘探三队</w:t>
      </w:r>
    </w:p>
    <w:p w14:paraId="4BCC013F">
      <w:pPr>
        <w:spacing w:line="720" w:lineRule="auto"/>
        <w:jc w:val="both"/>
        <w:textAlignment w:val="center"/>
        <w:rPr>
          <w:rFonts w:hint="default" w:ascii="宋体" w:hAnsi="宋体" w:eastAsia="宋体" w:cs="Arial"/>
          <w:kern w:val="0"/>
          <w:sz w:val="24"/>
          <w:szCs w:val="22"/>
          <w:highlight w:val="none"/>
          <w:lang w:val="en-US" w:eastAsia="zh-CN"/>
        </w:rPr>
      </w:pPr>
      <w:r>
        <w:rPr>
          <w:rFonts w:hint="eastAsia" w:ascii="宋体" w:hAnsi="宋体" w:eastAsia="宋体" w:cs="Arial"/>
          <w:kern w:val="0"/>
          <w:sz w:val="24"/>
          <w:szCs w:val="22"/>
          <w:highlight w:val="none"/>
        </w:rPr>
        <w:t>承包人（乙方）</w:t>
      </w:r>
      <w:r>
        <w:rPr>
          <w:rFonts w:hint="eastAsia" w:ascii="宋体" w:hAnsi="宋体" w:eastAsia="宋体" w:cs="Arial"/>
          <w:kern w:val="0"/>
          <w:sz w:val="24"/>
          <w:szCs w:val="22"/>
          <w:highlight w:val="none"/>
          <w:lang w:eastAsia="zh-CN"/>
        </w:rPr>
        <w:t>：</w:t>
      </w:r>
    </w:p>
    <w:p w14:paraId="1442C6A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依据《中华人民共和国民法典》的规定，合同双方：江苏</w:t>
      </w:r>
      <w:r>
        <w:rPr>
          <w:rFonts w:hint="eastAsia" w:ascii="宋体" w:hAnsi="宋体" w:cs="Arial"/>
          <w:kern w:val="0"/>
          <w:sz w:val="24"/>
          <w:szCs w:val="24"/>
          <w:highlight w:val="none"/>
          <w:lang w:val="en-US" w:eastAsia="zh-CN" w:bidi="ar-SA"/>
        </w:rPr>
        <w:t>煤炭地质勘探三队</w:t>
      </w:r>
      <w:r>
        <w:rPr>
          <w:rFonts w:hint="eastAsia" w:ascii="宋体" w:hAnsi="宋体" w:eastAsia="宋体" w:cs="Arial"/>
          <w:kern w:val="0"/>
          <w:sz w:val="24"/>
          <w:szCs w:val="24"/>
          <w:highlight w:val="none"/>
          <w:lang w:val="en-US" w:eastAsia="zh-CN" w:bidi="ar-SA"/>
        </w:rPr>
        <w:t>（以下简称甲方）与  （以下简称乙方）就甲方的</w:t>
      </w:r>
      <w:r>
        <w:rPr>
          <w:rFonts w:hint="eastAsia" w:ascii="宋体" w:hAnsi="宋体" w:cs="Arial"/>
          <w:kern w:val="0"/>
          <w:sz w:val="24"/>
          <w:szCs w:val="24"/>
          <w:highlight w:val="none"/>
          <w:lang w:val="en-US" w:eastAsia="zh-CN" w:bidi="ar-SA"/>
        </w:rPr>
        <w:t>固原</w:t>
      </w:r>
      <w:r>
        <w:rPr>
          <w:rFonts w:hint="eastAsia" w:ascii="宋体" w:hAnsi="宋体" w:eastAsia="宋体" w:cs="Arial"/>
          <w:kern w:val="0"/>
          <w:sz w:val="24"/>
          <w:szCs w:val="24"/>
          <w:highlight w:val="none"/>
          <w:lang w:val="en-US" w:eastAsia="zh-CN" w:bidi="ar-SA"/>
        </w:rPr>
        <w:t>吊运服务事宜，经协商一致，签订本合同，并将在合同有效期内共同遵守。</w:t>
      </w:r>
    </w:p>
    <w:p w14:paraId="36E640C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第一条  服务内容、方式和要求</w:t>
      </w:r>
    </w:p>
    <w:p w14:paraId="4A4E16E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乙方接受甲方委托对甲方的管材、设备、工具等材料进行吊运服务，吊运方式由甲方根据实际情况确认并告知乙方，具体吊运时间以甲方通知为准。</w:t>
      </w:r>
    </w:p>
    <w:p w14:paraId="4F859DE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第二条  服务期限</w:t>
      </w:r>
    </w:p>
    <w:p w14:paraId="34BA04E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本合同服务期限自</w:t>
      </w:r>
      <w:r>
        <w:rPr>
          <w:rFonts w:hint="eastAsia" w:ascii="宋体" w:hAnsi="宋体" w:cs="Arial"/>
          <w:kern w:val="0"/>
          <w:sz w:val="24"/>
          <w:szCs w:val="24"/>
          <w:highlight w:val="none"/>
          <w:lang w:val="en-US" w:eastAsia="zh-CN" w:bidi="ar-SA"/>
        </w:rPr>
        <w:t xml:space="preserve">  年   月  日</w:t>
      </w:r>
      <w:r>
        <w:rPr>
          <w:rFonts w:hint="eastAsia" w:ascii="宋体" w:hAnsi="宋体" w:eastAsia="宋体" w:cs="Arial"/>
          <w:kern w:val="0"/>
          <w:sz w:val="24"/>
          <w:szCs w:val="24"/>
          <w:highlight w:val="none"/>
          <w:lang w:val="en-US" w:eastAsia="zh-CN" w:bidi="ar-SA"/>
        </w:rPr>
        <w:t>起至</w:t>
      </w:r>
      <w:r>
        <w:rPr>
          <w:rFonts w:hint="eastAsia" w:ascii="宋体" w:hAnsi="宋体" w:cs="Arial"/>
          <w:kern w:val="0"/>
          <w:sz w:val="24"/>
          <w:szCs w:val="24"/>
          <w:highlight w:val="none"/>
          <w:lang w:val="en-US" w:eastAsia="zh-CN" w:bidi="ar-SA"/>
        </w:rPr>
        <w:t xml:space="preserve">  </w:t>
      </w:r>
      <w:r>
        <w:rPr>
          <w:rFonts w:hint="eastAsia" w:ascii="宋体" w:hAnsi="宋体" w:eastAsia="宋体" w:cs="Arial"/>
          <w:kern w:val="0"/>
          <w:sz w:val="24"/>
          <w:szCs w:val="24"/>
          <w:highlight w:val="none"/>
          <w:lang w:val="en-US" w:eastAsia="zh-CN" w:bidi="ar-SA"/>
        </w:rPr>
        <w:t>年</w:t>
      </w:r>
      <w:r>
        <w:rPr>
          <w:rFonts w:hint="eastAsia" w:ascii="宋体" w:hAnsi="宋体" w:cs="Arial"/>
          <w:kern w:val="0"/>
          <w:sz w:val="24"/>
          <w:szCs w:val="24"/>
          <w:highlight w:val="none"/>
          <w:lang w:val="en-US" w:eastAsia="zh-CN" w:bidi="ar-SA"/>
        </w:rPr>
        <w:t xml:space="preserve">   </w:t>
      </w:r>
      <w:r>
        <w:rPr>
          <w:rFonts w:hint="eastAsia" w:ascii="宋体" w:hAnsi="宋体" w:eastAsia="宋体" w:cs="Arial"/>
          <w:kern w:val="0"/>
          <w:sz w:val="24"/>
          <w:szCs w:val="24"/>
          <w:highlight w:val="none"/>
          <w:lang w:val="en-US" w:eastAsia="zh-CN" w:bidi="ar-SA"/>
        </w:rPr>
        <w:t>月</w:t>
      </w:r>
      <w:r>
        <w:rPr>
          <w:rFonts w:hint="eastAsia" w:ascii="宋体" w:hAnsi="宋体" w:cs="Arial"/>
          <w:kern w:val="0"/>
          <w:sz w:val="24"/>
          <w:szCs w:val="24"/>
          <w:highlight w:val="none"/>
          <w:lang w:val="en-US" w:eastAsia="zh-CN" w:bidi="ar-SA"/>
        </w:rPr>
        <w:t xml:space="preserve">  </w:t>
      </w:r>
      <w:r>
        <w:rPr>
          <w:rFonts w:hint="eastAsia" w:ascii="宋体" w:hAnsi="宋体" w:eastAsia="宋体" w:cs="Arial"/>
          <w:kern w:val="0"/>
          <w:sz w:val="24"/>
          <w:szCs w:val="24"/>
          <w:highlight w:val="none"/>
          <w:lang w:val="en-US" w:eastAsia="zh-CN" w:bidi="ar-SA"/>
        </w:rPr>
        <w:t>日止。</w:t>
      </w:r>
    </w:p>
    <w:p w14:paraId="3664C9B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第三条  服务质量保证</w:t>
      </w:r>
    </w:p>
    <w:p w14:paraId="7399285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3.1 乙方应按照国家相关法律法规和行业标准，为甲方提供高质量的吊运服务。</w:t>
      </w:r>
    </w:p>
    <w:p w14:paraId="4B64E8E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3.2 乙方及吊运工具、驾驶员，必须具备合法营运资格，必须有齐备的国家政府部门核发的有效证件及牌照。</w:t>
      </w:r>
    </w:p>
    <w:p w14:paraId="4B7F7CF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3.3 乙方必须将吊运的货物按时、完整、准确地送达甲方指定的目的地。</w:t>
      </w:r>
    </w:p>
    <w:p w14:paraId="1E867AA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3.4 乙方在货物承运期间内提供尽责的服务，应及时向甲方反馈运输过程中的相关信息。遇到突发事件及时向甲方报告。</w:t>
      </w:r>
    </w:p>
    <w:p w14:paraId="0D2642E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3.5 未经甲方同意，乙方不得将甲方委托的吊运任务转交第三方，吊运以外发生的任何其它费用，如：车身保险、防盗险、第三者责任险等保险费及养路费、年检费、燃油费、过路费、过桥费、停车费等均由乙方承担。</w:t>
      </w:r>
    </w:p>
    <w:p w14:paraId="5847310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第四条  安全管理</w:t>
      </w:r>
    </w:p>
    <w:p w14:paraId="1F896DB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4.1 乙方进场人员需持证上岗，进场设备要符合安全施工要求。</w:t>
      </w:r>
    </w:p>
    <w:p w14:paraId="626EE39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4.2乙方进入吊运现场，必须严格遵守甲方相关的安全管理规定，服从甲方统一指挥。吊运现场保持整洁，做到工完场清。</w:t>
      </w:r>
    </w:p>
    <w:p w14:paraId="5B45F53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4.3 乙方安全主管应加强对吊运人员的安全教育，提高自身防范意识，在吊运服务期间如出现安全事故皆由乙方承担全部责任。若造成甲方财产损失的照价赔偿。</w:t>
      </w:r>
    </w:p>
    <w:p w14:paraId="090B68E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第五条  保密义务</w:t>
      </w:r>
    </w:p>
    <w:p w14:paraId="2044767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5.1 未经甲方同意，乙方不得向任何第三方透露本合同的内容及甲方委托的具体工作信息</w:t>
      </w:r>
    </w:p>
    <w:p w14:paraId="2EACD19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第六条  服务费用及支付方式</w:t>
      </w:r>
    </w:p>
    <w:p w14:paraId="59F01B6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经双方友好协商，服务费用在现场吊运结束后按具体工作量确认，结算方式:每</w:t>
      </w:r>
      <w:r>
        <w:rPr>
          <w:rFonts w:hint="eastAsia" w:ascii="宋体" w:hAnsi="宋体" w:cs="Arial"/>
          <w:kern w:val="0"/>
          <w:sz w:val="24"/>
          <w:szCs w:val="24"/>
          <w:highlight w:val="none"/>
          <w:lang w:val="en-US" w:eastAsia="zh-CN" w:bidi="ar-SA"/>
        </w:rPr>
        <w:t>1</w:t>
      </w:r>
      <w:r>
        <w:rPr>
          <w:rFonts w:hint="eastAsia" w:ascii="宋体" w:hAnsi="宋体" w:eastAsia="宋体" w:cs="Arial"/>
          <w:kern w:val="0"/>
          <w:sz w:val="24"/>
          <w:szCs w:val="24"/>
          <w:highlight w:val="none"/>
          <w:lang w:val="en-US" w:eastAsia="zh-CN" w:bidi="ar-SA"/>
        </w:rPr>
        <w:t xml:space="preserve">个月办理一次结算，乙方开具全额 </w:t>
      </w:r>
      <w:r>
        <w:rPr>
          <w:rFonts w:hint="eastAsia" w:ascii="宋体" w:hAnsi="宋体" w:cs="Arial"/>
          <w:kern w:val="0"/>
          <w:sz w:val="24"/>
          <w:szCs w:val="24"/>
          <w:highlight w:val="none"/>
          <w:lang w:val="en-US" w:eastAsia="zh-CN" w:bidi="ar-SA"/>
        </w:rPr>
        <w:t xml:space="preserve">  </w:t>
      </w:r>
      <w:r>
        <w:rPr>
          <w:rFonts w:hint="eastAsia" w:ascii="宋体" w:hAnsi="宋体" w:eastAsia="宋体" w:cs="Arial"/>
          <w:kern w:val="0"/>
          <w:sz w:val="24"/>
          <w:szCs w:val="24"/>
          <w:highlight w:val="none"/>
          <w:lang w:val="en-US" w:eastAsia="zh-CN" w:bidi="ar-SA"/>
        </w:rPr>
        <w:t>%增值税专用发票后，甲方7日内支付全部结算金额。</w:t>
      </w:r>
    </w:p>
    <w:p w14:paraId="1273E84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现场吊运服务结算价格如下表：</w:t>
      </w:r>
    </w:p>
    <w:p w14:paraId="4D0093E8">
      <w:pPr>
        <w:pStyle w:val="21"/>
        <w:ind w:firstLine="562"/>
        <w:jc w:val="center"/>
        <w:rPr>
          <w:rFonts w:hint="eastAsia"/>
          <w:b/>
          <w:bCs/>
          <w:sz w:val="28"/>
          <w:szCs w:val="28"/>
          <w:highlight w:val="none"/>
        </w:rPr>
      </w:pPr>
      <w:r>
        <w:rPr>
          <w:rFonts w:hint="eastAsia"/>
          <w:b/>
          <w:bCs/>
          <w:sz w:val="28"/>
          <w:szCs w:val="28"/>
          <w:highlight w:val="none"/>
        </w:rPr>
        <w:t>吊运服务结算价格表</w:t>
      </w:r>
    </w:p>
    <w:tbl>
      <w:tblPr>
        <w:tblStyle w:val="12"/>
        <w:tblpPr w:leftFromText="180" w:rightFromText="180" w:vertAnchor="text" w:horzAnchor="page" w:tblpX="1259" w:tblpY="54"/>
        <w:tblOverlap w:val="never"/>
        <w:tblW w:w="9252" w:type="dxa"/>
        <w:tblInd w:w="0" w:type="dxa"/>
        <w:tblLayout w:type="fixed"/>
        <w:tblCellMar>
          <w:top w:w="0" w:type="dxa"/>
          <w:left w:w="10" w:type="dxa"/>
          <w:bottom w:w="0" w:type="dxa"/>
          <w:right w:w="10" w:type="dxa"/>
        </w:tblCellMar>
      </w:tblPr>
      <w:tblGrid>
        <w:gridCol w:w="684"/>
        <w:gridCol w:w="1393"/>
        <w:gridCol w:w="1552"/>
        <w:gridCol w:w="2279"/>
        <w:gridCol w:w="3344"/>
      </w:tblGrid>
      <w:tr w14:paraId="3C371BD1">
        <w:tblPrEx>
          <w:tblCellMar>
            <w:top w:w="0" w:type="dxa"/>
            <w:left w:w="10" w:type="dxa"/>
            <w:bottom w:w="0" w:type="dxa"/>
            <w:right w:w="10" w:type="dxa"/>
          </w:tblCellMar>
        </w:tblPrEx>
        <w:trPr>
          <w:trHeight w:val="641" w:hRule="exact"/>
        </w:trPr>
        <w:tc>
          <w:tcPr>
            <w:tcW w:w="684" w:type="dxa"/>
            <w:tcBorders>
              <w:top w:val="single" w:color="auto" w:sz="4" w:space="0"/>
              <w:left w:val="single" w:color="auto" w:sz="4" w:space="0"/>
            </w:tcBorders>
            <w:vAlign w:val="center"/>
          </w:tcPr>
          <w:p w14:paraId="1FAF1B7B">
            <w:pPr>
              <w:pStyle w:val="22"/>
              <w:keepNext w:val="0"/>
              <w:keepLines w:val="0"/>
              <w:widowControl w:val="0"/>
              <w:shd w:val="clear" w:color="auto" w:fill="auto"/>
              <w:bidi w:val="0"/>
              <w:spacing w:before="0" w:after="0" w:line="310" w:lineRule="exact"/>
              <w:ind w:left="0" w:right="0" w:firstLine="0"/>
              <w:jc w:val="center"/>
              <w:rPr>
                <w:highlight w:val="none"/>
              </w:rPr>
            </w:pPr>
            <w:r>
              <w:rPr>
                <w:rStyle w:val="23"/>
                <w:b w:val="0"/>
                <w:bCs w:val="0"/>
                <w:i w:val="0"/>
                <w:iCs w:val="0"/>
                <w:smallCaps w:val="0"/>
                <w:strike w:val="0"/>
                <w:highlight w:val="none"/>
              </w:rPr>
              <w:t>序 号</w:t>
            </w:r>
          </w:p>
        </w:tc>
        <w:tc>
          <w:tcPr>
            <w:tcW w:w="1393" w:type="dxa"/>
            <w:tcBorders>
              <w:top w:val="single" w:color="auto" w:sz="4" w:space="0"/>
              <w:left w:val="single" w:color="auto" w:sz="4" w:space="0"/>
            </w:tcBorders>
            <w:vAlign w:val="center"/>
          </w:tcPr>
          <w:p w14:paraId="05C814E9">
            <w:pPr>
              <w:pStyle w:val="22"/>
              <w:keepNext w:val="0"/>
              <w:keepLines w:val="0"/>
              <w:widowControl w:val="0"/>
              <w:shd w:val="clear" w:color="auto" w:fill="auto"/>
              <w:bidi w:val="0"/>
              <w:spacing w:before="0" w:after="0" w:line="240" w:lineRule="auto"/>
              <w:ind w:left="0" w:right="0" w:firstLine="0"/>
              <w:jc w:val="center"/>
              <w:rPr>
                <w:highlight w:val="none"/>
              </w:rPr>
            </w:pPr>
            <w:r>
              <w:rPr>
                <w:rStyle w:val="23"/>
                <w:b w:val="0"/>
                <w:bCs w:val="0"/>
                <w:i w:val="0"/>
                <w:iCs w:val="0"/>
                <w:smallCaps w:val="0"/>
                <w:strike w:val="0"/>
                <w:highlight w:val="none"/>
              </w:rPr>
              <w:t>车型</w:t>
            </w:r>
          </w:p>
        </w:tc>
        <w:tc>
          <w:tcPr>
            <w:tcW w:w="1552" w:type="dxa"/>
            <w:tcBorders>
              <w:top w:val="single" w:color="auto" w:sz="4" w:space="0"/>
              <w:left w:val="single" w:color="auto" w:sz="4" w:space="0"/>
            </w:tcBorders>
            <w:vAlign w:val="center"/>
          </w:tcPr>
          <w:p w14:paraId="5377459B">
            <w:pPr>
              <w:pStyle w:val="22"/>
              <w:keepNext w:val="0"/>
              <w:keepLines w:val="0"/>
              <w:widowControl w:val="0"/>
              <w:shd w:val="clear" w:color="auto" w:fill="auto"/>
              <w:bidi w:val="0"/>
              <w:spacing w:before="0" w:after="0" w:line="240" w:lineRule="auto"/>
              <w:ind w:left="0" w:right="0" w:firstLine="0"/>
              <w:jc w:val="center"/>
              <w:rPr>
                <w:highlight w:val="none"/>
              </w:rPr>
            </w:pPr>
            <w:r>
              <w:rPr>
                <w:rStyle w:val="23"/>
                <w:b w:val="0"/>
                <w:bCs w:val="0"/>
                <w:i w:val="0"/>
                <w:iCs w:val="0"/>
                <w:smallCaps w:val="0"/>
                <w:strike w:val="0"/>
                <w:highlight w:val="none"/>
              </w:rPr>
              <w:t>载重标准</w:t>
            </w:r>
          </w:p>
        </w:tc>
        <w:tc>
          <w:tcPr>
            <w:tcW w:w="2279" w:type="dxa"/>
            <w:tcBorders>
              <w:top w:val="single" w:color="auto" w:sz="4" w:space="0"/>
              <w:left w:val="single" w:color="auto" w:sz="4" w:space="0"/>
            </w:tcBorders>
            <w:vAlign w:val="center"/>
          </w:tcPr>
          <w:p w14:paraId="324F4C1A">
            <w:pPr>
              <w:pStyle w:val="22"/>
              <w:keepNext w:val="0"/>
              <w:keepLines w:val="0"/>
              <w:widowControl w:val="0"/>
              <w:shd w:val="clear" w:color="auto" w:fill="auto"/>
              <w:bidi w:val="0"/>
              <w:spacing w:before="0" w:after="0" w:line="240" w:lineRule="auto"/>
              <w:ind w:left="0" w:right="0" w:firstLine="0"/>
              <w:jc w:val="center"/>
              <w:rPr>
                <w:highlight w:val="none"/>
              </w:rPr>
            </w:pPr>
            <w:r>
              <w:rPr>
                <w:rStyle w:val="23"/>
                <w:b w:val="0"/>
                <w:bCs w:val="0"/>
                <w:i w:val="0"/>
                <w:iCs w:val="0"/>
                <w:smallCaps w:val="0"/>
                <w:strike w:val="0"/>
                <w:highlight w:val="none"/>
              </w:rPr>
              <w:t>费用</w:t>
            </w:r>
          </w:p>
        </w:tc>
        <w:tc>
          <w:tcPr>
            <w:tcW w:w="3344" w:type="dxa"/>
            <w:tcBorders>
              <w:top w:val="single" w:color="auto" w:sz="4" w:space="0"/>
              <w:left w:val="single" w:color="auto" w:sz="4" w:space="0"/>
              <w:right w:val="single" w:color="auto" w:sz="4" w:space="0"/>
            </w:tcBorders>
            <w:vAlign w:val="center"/>
          </w:tcPr>
          <w:p w14:paraId="6169E68A">
            <w:pPr>
              <w:pStyle w:val="22"/>
              <w:keepNext w:val="0"/>
              <w:keepLines w:val="0"/>
              <w:widowControl w:val="0"/>
              <w:shd w:val="clear" w:color="auto" w:fill="auto"/>
              <w:bidi w:val="0"/>
              <w:spacing w:before="0" w:after="0" w:line="240" w:lineRule="auto"/>
              <w:ind w:left="0" w:right="0" w:firstLine="0"/>
              <w:jc w:val="center"/>
              <w:rPr>
                <w:highlight w:val="none"/>
              </w:rPr>
            </w:pPr>
            <w:r>
              <w:rPr>
                <w:rStyle w:val="23"/>
                <w:b w:val="0"/>
                <w:bCs w:val="0"/>
                <w:i w:val="0"/>
                <w:iCs w:val="0"/>
                <w:smallCaps w:val="0"/>
                <w:strike w:val="0"/>
                <w:highlight w:val="none"/>
              </w:rPr>
              <w:t>工作时间说明</w:t>
            </w:r>
          </w:p>
        </w:tc>
      </w:tr>
      <w:tr w14:paraId="5F1B5383">
        <w:tblPrEx>
          <w:tblCellMar>
            <w:top w:w="0" w:type="dxa"/>
            <w:left w:w="10" w:type="dxa"/>
            <w:bottom w:w="0" w:type="dxa"/>
            <w:right w:w="10" w:type="dxa"/>
          </w:tblCellMar>
        </w:tblPrEx>
        <w:trPr>
          <w:trHeight w:val="468" w:hRule="exact"/>
        </w:trPr>
        <w:tc>
          <w:tcPr>
            <w:tcW w:w="684" w:type="dxa"/>
            <w:tcBorders>
              <w:top w:val="single" w:color="auto" w:sz="4" w:space="0"/>
              <w:left w:val="single" w:color="auto" w:sz="4" w:space="0"/>
            </w:tcBorders>
            <w:vAlign w:val="center"/>
          </w:tcPr>
          <w:p w14:paraId="6665AD72">
            <w:pPr>
              <w:pStyle w:val="22"/>
              <w:keepNext w:val="0"/>
              <w:keepLines w:val="0"/>
              <w:widowControl w:val="0"/>
              <w:shd w:val="clear" w:color="auto" w:fill="auto"/>
              <w:bidi w:val="0"/>
              <w:spacing w:before="0" w:after="0" w:line="240" w:lineRule="auto"/>
              <w:ind w:left="0" w:right="0" w:firstLine="260"/>
              <w:jc w:val="left"/>
              <w:rPr>
                <w:sz w:val="24"/>
                <w:szCs w:val="24"/>
                <w:highlight w:val="none"/>
              </w:rPr>
            </w:pPr>
            <w:r>
              <w:rPr>
                <w:rStyle w:val="23"/>
                <w:rFonts w:ascii="宋体" w:hAnsi="宋体" w:eastAsia="宋体" w:cs="宋体"/>
                <w:b w:val="0"/>
                <w:bCs w:val="0"/>
                <w:i w:val="0"/>
                <w:iCs w:val="0"/>
                <w:smallCaps w:val="0"/>
                <w:strike w:val="0"/>
                <w:sz w:val="24"/>
                <w:szCs w:val="24"/>
                <w:highlight w:val="none"/>
              </w:rPr>
              <w:t>1</w:t>
            </w:r>
          </w:p>
        </w:tc>
        <w:tc>
          <w:tcPr>
            <w:tcW w:w="1393" w:type="dxa"/>
            <w:tcBorders>
              <w:top w:val="single" w:color="auto" w:sz="4" w:space="0"/>
              <w:left w:val="single" w:color="auto" w:sz="4" w:space="0"/>
            </w:tcBorders>
            <w:vAlign w:val="center"/>
          </w:tcPr>
          <w:p w14:paraId="37E36993">
            <w:pPr>
              <w:pStyle w:val="22"/>
              <w:keepNext w:val="0"/>
              <w:keepLines w:val="0"/>
              <w:widowControl w:val="0"/>
              <w:shd w:val="clear" w:color="auto" w:fill="auto"/>
              <w:bidi w:val="0"/>
              <w:spacing w:before="0" w:after="0" w:line="240" w:lineRule="auto"/>
              <w:ind w:left="0" w:right="0" w:firstLine="0"/>
              <w:jc w:val="center"/>
              <w:rPr>
                <w:highlight w:val="none"/>
              </w:rPr>
            </w:pPr>
            <w:r>
              <w:rPr>
                <w:rStyle w:val="23"/>
                <w:b w:val="0"/>
                <w:bCs w:val="0"/>
                <w:i w:val="0"/>
                <w:iCs w:val="0"/>
                <w:smallCaps w:val="0"/>
                <w:strike w:val="0"/>
                <w:highlight w:val="none"/>
              </w:rPr>
              <w:t>吊车</w:t>
            </w:r>
          </w:p>
        </w:tc>
        <w:tc>
          <w:tcPr>
            <w:tcW w:w="1552" w:type="dxa"/>
            <w:tcBorders>
              <w:top w:val="single" w:color="auto" w:sz="4" w:space="0"/>
              <w:left w:val="single" w:color="auto" w:sz="4" w:space="0"/>
            </w:tcBorders>
            <w:vAlign w:val="center"/>
          </w:tcPr>
          <w:p w14:paraId="32F4BC63">
            <w:pPr>
              <w:pStyle w:val="22"/>
              <w:keepNext w:val="0"/>
              <w:keepLines w:val="0"/>
              <w:widowControl w:val="0"/>
              <w:shd w:val="clear" w:color="auto" w:fill="auto"/>
              <w:bidi w:val="0"/>
              <w:spacing w:before="0" w:after="0" w:line="240" w:lineRule="auto"/>
              <w:ind w:left="0" w:leftChars="0" w:right="0" w:firstLine="0" w:firstLineChars="0"/>
              <w:jc w:val="center"/>
              <w:rPr>
                <w:highlight w:val="none"/>
              </w:rPr>
            </w:pPr>
            <w:r>
              <w:rPr>
                <w:rStyle w:val="23"/>
                <w:rFonts w:hint="eastAsia" w:ascii="宋体" w:hAnsi="宋体" w:eastAsia="宋体" w:cs="宋体"/>
                <w:b w:val="0"/>
                <w:bCs w:val="0"/>
                <w:i w:val="0"/>
                <w:iCs w:val="0"/>
                <w:smallCaps w:val="0"/>
                <w:strike w:val="0"/>
                <w:sz w:val="24"/>
                <w:szCs w:val="24"/>
                <w:highlight w:val="none"/>
                <w:lang w:val="en-US" w:eastAsia="zh-CN"/>
              </w:rPr>
              <w:t>50T</w:t>
            </w:r>
            <w:r>
              <w:rPr>
                <w:rStyle w:val="23"/>
                <w:b w:val="0"/>
                <w:bCs w:val="0"/>
                <w:i w:val="0"/>
                <w:iCs w:val="0"/>
                <w:smallCaps w:val="0"/>
                <w:strike w:val="0"/>
                <w:highlight w:val="none"/>
              </w:rPr>
              <w:t>吊车</w:t>
            </w:r>
          </w:p>
        </w:tc>
        <w:tc>
          <w:tcPr>
            <w:tcW w:w="2279" w:type="dxa"/>
            <w:tcBorders>
              <w:top w:val="single" w:color="auto" w:sz="4" w:space="0"/>
              <w:left w:val="single" w:color="auto" w:sz="4" w:space="0"/>
            </w:tcBorders>
            <w:vAlign w:val="center"/>
          </w:tcPr>
          <w:p w14:paraId="13BCC209">
            <w:pPr>
              <w:pStyle w:val="22"/>
              <w:keepNext w:val="0"/>
              <w:keepLines w:val="0"/>
              <w:widowControl w:val="0"/>
              <w:shd w:val="clear" w:color="auto" w:fill="auto"/>
              <w:bidi w:val="0"/>
              <w:spacing w:before="0" w:after="0" w:line="240" w:lineRule="auto"/>
              <w:ind w:left="0" w:right="0" w:firstLine="0"/>
              <w:jc w:val="center"/>
              <w:rPr>
                <w:highlight w:val="none"/>
              </w:rPr>
            </w:pPr>
            <w:r>
              <w:rPr>
                <w:rStyle w:val="23"/>
                <w:b w:val="0"/>
                <w:bCs w:val="0"/>
                <w:i w:val="0"/>
                <w:iCs w:val="0"/>
                <w:smallCaps w:val="0"/>
                <w:strike w:val="0"/>
                <w:highlight w:val="none"/>
              </w:rPr>
              <w:t>元/台班</w:t>
            </w:r>
          </w:p>
        </w:tc>
        <w:tc>
          <w:tcPr>
            <w:tcW w:w="3344" w:type="dxa"/>
            <w:vMerge w:val="restart"/>
            <w:tcBorders>
              <w:top w:val="single" w:color="auto" w:sz="4" w:space="0"/>
              <w:left w:val="single" w:color="auto" w:sz="4" w:space="0"/>
              <w:right w:val="single" w:color="auto" w:sz="4" w:space="0"/>
            </w:tcBorders>
            <w:vAlign w:val="center"/>
          </w:tcPr>
          <w:p w14:paraId="550D03F6">
            <w:pPr>
              <w:pStyle w:val="22"/>
              <w:keepNext w:val="0"/>
              <w:keepLines w:val="0"/>
              <w:widowControl w:val="0"/>
              <w:shd w:val="clear" w:color="auto" w:fill="auto"/>
              <w:bidi w:val="0"/>
              <w:spacing w:before="0" w:after="0" w:line="315" w:lineRule="exact"/>
              <w:ind w:left="0" w:right="0" w:firstLine="0"/>
              <w:jc w:val="left"/>
              <w:rPr>
                <w:rStyle w:val="23"/>
                <w:b w:val="0"/>
                <w:bCs w:val="0"/>
                <w:i w:val="0"/>
                <w:iCs w:val="0"/>
                <w:smallCaps w:val="0"/>
                <w:strike w:val="0"/>
                <w:highlight w:val="none"/>
              </w:rPr>
            </w:pPr>
            <w:r>
              <w:rPr>
                <w:rStyle w:val="23"/>
                <w:b w:val="0"/>
                <w:bCs w:val="0"/>
                <w:i w:val="0"/>
                <w:iCs w:val="0"/>
                <w:smallCaps w:val="0"/>
                <w:strike w:val="0"/>
                <w:highlight w:val="none"/>
              </w:rPr>
              <w:t>工作时间：车辆使用在</w:t>
            </w:r>
            <w:r>
              <w:rPr>
                <w:rStyle w:val="23"/>
                <w:rFonts w:ascii="宋体" w:hAnsi="宋体" w:eastAsia="宋体" w:cs="宋体"/>
                <w:b w:val="0"/>
                <w:bCs w:val="0"/>
                <w:i w:val="0"/>
                <w:iCs w:val="0"/>
                <w:smallCaps w:val="0"/>
                <w:strike w:val="0"/>
                <w:sz w:val="24"/>
                <w:szCs w:val="24"/>
                <w:highlight w:val="none"/>
              </w:rPr>
              <w:t>4</w:t>
            </w:r>
            <w:r>
              <w:rPr>
                <w:rStyle w:val="23"/>
                <w:rFonts w:hint="eastAsia" w:ascii="宋体" w:hAnsi="宋体" w:eastAsia="宋体" w:cs="宋体"/>
                <w:b w:val="0"/>
                <w:bCs w:val="0"/>
                <w:i w:val="0"/>
                <w:iCs w:val="0"/>
                <w:smallCaps w:val="0"/>
                <w:strike w:val="0"/>
                <w:sz w:val="24"/>
                <w:szCs w:val="24"/>
                <w:highlight w:val="none"/>
                <w:lang w:val="en-US" w:eastAsia="zh-CN"/>
              </w:rPr>
              <w:t>.5</w:t>
            </w:r>
            <w:r>
              <w:rPr>
                <w:rStyle w:val="23"/>
                <w:b w:val="0"/>
                <w:bCs w:val="0"/>
                <w:i w:val="0"/>
                <w:iCs w:val="0"/>
                <w:smallCaps w:val="0"/>
                <w:strike w:val="0"/>
                <w:highlight w:val="none"/>
              </w:rPr>
              <w:t xml:space="preserve">小时 以内，按半个台班结算：超出 </w:t>
            </w:r>
            <w:r>
              <w:rPr>
                <w:rStyle w:val="23"/>
                <w:rFonts w:ascii="宋体" w:hAnsi="宋体" w:eastAsia="宋体" w:cs="宋体"/>
                <w:b w:val="0"/>
                <w:bCs w:val="0"/>
                <w:i w:val="0"/>
                <w:iCs w:val="0"/>
                <w:smallCaps w:val="0"/>
                <w:strike w:val="0"/>
                <w:sz w:val="24"/>
                <w:szCs w:val="24"/>
                <w:highlight w:val="none"/>
              </w:rPr>
              <w:t>4</w:t>
            </w:r>
            <w:r>
              <w:rPr>
                <w:rStyle w:val="23"/>
                <w:rFonts w:hint="eastAsia" w:ascii="宋体" w:hAnsi="宋体" w:eastAsia="宋体" w:cs="宋体"/>
                <w:b w:val="0"/>
                <w:bCs w:val="0"/>
                <w:i w:val="0"/>
                <w:iCs w:val="0"/>
                <w:smallCaps w:val="0"/>
                <w:strike w:val="0"/>
                <w:sz w:val="24"/>
                <w:szCs w:val="24"/>
                <w:highlight w:val="none"/>
                <w:lang w:val="en-US" w:eastAsia="zh-CN"/>
              </w:rPr>
              <w:t>.5</w:t>
            </w:r>
            <w:r>
              <w:rPr>
                <w:rStyle w:val="23"/>
                <w:b w:val="0"/>
                <w:bCs w:val="0"/>
                <w:i w:val="0"/>
                <w:iCs w:val="0"/>
                <w:smallCaps w:val="0"/>
                <w:strike w:val="0"/>
                <w:highlight w:val="none"/>
              </w:rPr>
              <w:t>小时，但不超出</w:t>
            </w:r>
            <w:r>
              <w:rPr>
                <w:rStyle w:val="23"/>
                <w:rFonts w:ascii="宋体" w:hAnsi="宋体" w:eastAsia="宋体" w:cs="宋体"/>
                <w:b w:val="0"/>
                <w:bCs w:val="0"/>
                <w:i w:val="0"/>
                <w:iCs w:val="0"/>
                <w:smallCaps w:val="0"/>
                <w:strike w:val="0"/>
                <w:sz w:val="24"/>
                <w:szCs w:val="24"/>
                <w:highlight w:val="none"/>
              </w:rPr>
              <w:t>9</w:t>
            </w:r>
            <w:r>
              <w:rPr>
                <w:rStyle w:val="23"/>
                <w:b w:val="0"/>
                <w:bCs w:val="0"/>
                <w:i w:val="0"/>
                <w:iCs w:val="0"/>
                <w:smallCaps w:val="0"/>
                <w:strike w:val="0"/>
                <w:highlight w:val="none"/>
              </w:rPr>
              <w:t>小时按一 个台班结算：超出</w:t>
            </w:r>
            <w:r>
              <w:rPr>
                <w:rStyle w:val="23"/>
                <w:rFonts w:ascii="宋体" w:hAnsi="宋体" w:eastAsia="宋体" w:cs="宋体"/>
                <w:b w:val="0"/>
                <w:bCs w:val="0"/>
                <w:i w:val="0"/>
                <w:iCs w:val="0"/>
                <w:smallCaps w:val="0"/>
                <w:strike w:val="0"/>
                <w:sz w:val="24"/>
                <w:szCs w:val="24"/>
                <w:highlight w:val="none"/>
              </w:rPr>
              <w:t>9</w:t>
            </w:r>
            <w:r>
              <w:rPr>
                <w:rStyle w:val="23"/>
                <w:b w:val="0"/>
                <w:bCs w:val="0"/>
                <w:i w:val="0"/>
                <w:iCs w:val="0"/>
                <w:smallCaps w:val="0"/>
                <w:strike w:val="0"/>
                <w:highlight w:val="none"/>
              </w:rPr>
              <w:t>小时，按上述方法类推。</w:t>
            </w:r>
          </w:p>
          <w:p w14:paraId="26C8CE85">
            <w:pPr>
              <w:pStyle w:val="22"/>
              <w:keepNext w:val="0"/>
              <w:keepLines w:val="0"/>
              <w:widowControl w:val="0"/>
              <w:shd w:val="clear" w:color="auto" w:fill="auto"/>
              <w:bidi w:val="0"/>
              <w:spacing w:before="0" w:after="0" w:line="315" w:lineRule="exact"/>
              <w:ind w:left="0" w:right="0" w:firstLine="220" w:firstLineChars="100"/>
              <w:jc w:val="left"/>
              <w:rPr>
                <w:rStyle w:val="23"/>
                <w:rFonts w:hint="eastAsia"/>
                <w:b w:val="0"/>
                <w:bCs w:val="0"/>
                <w:i w:val="0"/>
                <w:iCs w:val="0"/>
                <w:smallCaps w:val="0"/>
                <w:strike w:val="0"/>
                <w:highlight w:val="none"/>
              </w:rPr>
            </w:pPr>
          </w:p>
          <w:p w14:paraId="72113BD2">
            <w:pPr>
              <w:pStyle w:val="22"/>
              <w:keepNext w:val="0"/>
              <w:keepLines w:val="0"/>
              <w:widowControl w:val="0"/>
              <w:shd w:val="clear" w:color="auto" w:fill="auto"/>
              <w:bidi w:val="0"/>
              <w:spacing w:before="0" w:after="0" w:line="315" w:lineRule="exact"/>
              <w:ind w:left="0" w:leftChars="0" w:right="0" w:firstLine="0" w:firstLineChars="0"/>
              <w:jc w:val="left"/>
              <w:rPr>
                <w:rStyle w:val="23"/>
                <w:b w:val="0"/>
                <w:bCs w:val="0"/>
                <w:i w:val="0"/>
                <w:iCs w:val="0"/>
                <w:smallCaps w:val="0"/>
                <w:strike w:val="0"/>
                <w:highlight w:val="none"/>
              </w:rPr>
            </w:pPr>
            <w:r>
              <w:rPr>
                <w:rStyle w:val="23"/>
                <w:rFonts w:hint="eastAsia"/>
                <w:b w:val="0"/>
                <w:bCs w:val="0"/>
                <w:i w:val="0"/>
                <w:iCs w:val="0"/>
                <w:smallCaps w:val="0"/>
                <w:strike w:val="0"/>
                <w:highlight w:val="none"/>
              </w:rPr>
              <w:t>卡车按每辆计算，据实结算</w:t>
            </w:r>
          </w:p>
        </w:tc>
      </w:tr>
      <w:tr w14:paraId="41C0228A">
        <w:tblPrEx>
          <w:tblCellMar>
            <w:top w:w="0" w:type="dxa"/>
            <w:left w:w="10" w:type="dxa"/>
            <w:bottom w:w="0" w:type="dxa"/>
            <w:right w:w="10" w:type="dxa"/>
          </w:tblCellMar>
        </w:tblPrEx>
        <w:trPr>
          <w:trHeight w:val="461" w:hRule="exact"/>
        </w:trPr>
        <w:tc>
          <w:tcPr>
            <w:tcW w:w="684" w:type="dxa"/>
            <w:tcBorders>
              <w:top w:val="single" w:color="auto" w:sz="4" w:space="0"/>
              <w:left w:val="single" w:color="auto" w:sz="4" w:space="0"/>
            </w:tcBorders>
            <w:vAlign w:val="center"/>
          </w:tcPr>
          <w:p w14:paraId="79A5FC87">
            <w:pPr>
              <w:pStyle w:val="22"/>
              <w:keepNext w:val="0"/>
              <w:keepLines w:val="0"/>
              <w:widowControl w:val="0"/>
              <w:shd w:val="clear" w:color="auto" w:fill="auto"/>
              <w:bidi w:val="0"/>
              <w:spacing w:before="0" w:after="0" w:line="240" w:lineRule="auto"/>
              <w:ind w:left="0" w:right="0" w:firstLine="260"/>
              <w:jc w:val="left"/>
              <w:rPr>
                <w:sz w:val="24"/>
                <w:szCs w:val="24"/>
                <w:highlight w:val="none"/>
              </w:rPr>
            </w:pPr>
            <w:r>
              <w:rPr>
                <w:rStyle w:val="23"/>
                <w:rFonts w:ascii="宋体" w:hAnsi="宋体" w:eastAsia="宋体" w:cs="宋体"/>
                <w:b w:val="0"/>
                <w:bCs w:val="0"/>
                <w:i w:val="0"/>
                <w:iCs w:val="0"/>
                <w:smallCaps w:val="0"/>
                <w:strike w:val="0"/>
                <w:sz w:val="24"/>
                <w:szCs w:val="24"/>
                <w:highlight w:val="none"/>
              </w:rPr>
              <w:t>2</w:t>
            </w:r>
          </w:p>
        </w:tc>
        <w:tc>
          <w:tcPr>
            <w:tcW w:w="1393" w:type="dxa"/>
            <w:tcBorders>
              <w:top w:val="single" w:color="auto" w:sz="4" w:space="0"/>
              <w:left w:val="single" w:color="auto" w:sz="4" w:space="0"/>
            </w:tcBorders>
            <w:vAlign w:val="center"/>
          </w:tcPr>
          <w:p w14:paraId="292BFCBA">
            <w:pPr>
              <w:pStyle w:val="22"/>
              <w:keepNext w:val="0"/>
              <w:keepLines w:val="0"/>
              <w:widowControl w:val="0"/>
              <w:shd w:val="clear" w:color="auto" w:fill="auto"/>
              <w:bidi w:val="0"/>
              <w:spacing w:before="0" w:after="0" w:line="240" w:lineRule="auto"/>
              <w:ind w:left="0" w:right="0" w:firstLine="0"/>
              <w:jc w:val="center"/>
              <w:rPr>
                <w:highlight w:val="none"/>
              </w:rPr>
            </w:pPr>
            <w:r>
              <w:rPr>
                <w:rStyle w:val="23"/>
                <w:b w:val="0"/>
                <w:bCs w:val="0"/>
                <w:i w:val="0"/>
                <w:iCs w:val="0"/>
                <w:smallCaps w:val="0"/>
                <w:strike w:val="0"/>
                <w:highlight w:val="none"/>
              </w:rPr>
              <w:t>吊车</w:t>
            </w:r>
          </w:p>
        </w:tc>
        <w:tc>
          <w:tcPr>
            <w:tcW w:w="1552" w:type="dxa"/>
            <w:tcBorders>
              <w:top w:val="single" w:color="auto" w:sz="4" w:space="0"/>
              <w:left w:val="single" w:color="auto" w:sz="4" w:space="0"/>
            </w:tcBorders>
            <w:vAlign w:val="center"/>
          </w:tcPr>
          <w:p w14:paraId="29C44D2B">
            <w:pPr>
              <w:pStyle w:val="22"/>
              <w:keepNext w:val="0"/>
              <w:keepLines w:val="0"/>
              <w:widowControl w:val="0"/>
              <w:shd w:val="clear" w:color="auto" w:fill="auto"/>
              <w:bidi w:val="0"/>
              <w:spacing w:before="0" w:after="0" w:line="240" w:lineRule="auto"/>
              <w:ind w:left="0" w:right="0" w:firstLine="0"/>
              <w:jc w:val="center"/>
              <w:rPr>
                <w:highlight w:val="none"/>
              </w:rPr>
            </w:pPr>
            <w:r>
              <w:rPr>
                <w:rStyle w:val="23"/>
                <w:rFonts w:ascii="宋体" w:hAnsi="宋体" w:eastAsia="宋体" w:cs="宋体"/>
                <w:b w:val="0"/>
                <w:bCs w:val="0"/>
                <w:i w:val="0"/>
                <w:iCs w:val="0"/>
                <w:smallCaps w:val="0"/>
                <w:strike w:val="0"/>
                <w:sz w:val="24"/>
                <w:szCs w:val="24"/>
                <w:highlight w:val="none"/>
              </w:rPr>
              <w:t>25</w:t>
            </w:r>
            <w:r>
              <w:rPr>
                <w:rStyle w:val="23"/>
                <w:rFonts w:hint="eastAsia" w:ascii="宋体" w:hAnsi="宋体" w:eastAsia="宋体" w:cs="宋体"/>
                <w:b w:val="0"/>
                <w:bCs w:val="0"/>
                <w:i w:val="0"/>
                <w:iCs w:val="0"/>
                <w:smallCaps w:val="0"/>
                <w:strike w:val="0"/>
                <w:sz w:val="24"/>
                <w:szCs w:val="24"/>
                <w:highlight w:val="none"/>
                <w:lang w:val="en-US" w:eastAsia="zh-CN"/>
              </w:rPr>
              <w:t>T</w:t>
            </w:r>
            <w:r>
              <w:rPr>
                <w:rStyle w:val="23"/>
                <w:b w:val="0"/>
                <w:bCs w:val="0"/>
                <w:i w:val="0"/>
                <w:iCs w:val="0"/>
                <w:smallCaps w:val="0"/>
                <w:strike w:val="0"/>
                <w:highlight w:val="none"/>
              </w:rPr>
              <w:t>吊车</w:t>
            </w:r>
          </w:p>
        </w:tc>
        <w:tc>
          <w:tcPr>
            <w:tcW w:w="2279" w:type="dxa"/>
            <w:tcBorders>
              <w:top w:val="single" w:color="auto" w:sz="4" w:space="0"/>
              <w:left w:val="single" w:color="auto" w:sz="4" w:space="0"/>
            </w:tcBorders>
            <w:vAlign w:val="center"/>
          </w:tcPr>
          <w:p w14:paraId="6B7187CD">
            <w:pPr>
              <w:pStyle w:val="22"/>
              <w:keepNext w:val="0"/>
              <w:keepLines w:val="0"/>
              <w:widowControl w:val="0"/>
              <w:shd w:val="clear" w:color="auto" w:fill="auto"/>
              <w:bidi w:val="0"/>
              <w:spacing w:before="0" w:after="0" w:line="240" w:lineRule="auto"/>
              <w:ind w:left="0" w:right="0" w:firstLine="0"/>
              <w:jc w:val="center"/>
              <w:rPr>
                <w:highlight w:val="none"/>
              </w:rPr>
            </w:pPr>
            <w:r>
              <w:rPr>
                <w:rStyle w:val="23"/>
                <w:b w:val="0"/>
                <w:bCs w:val="0"/>
                <w:i w:val="0"/>
                <w:iCs w:val="0"/>
                <w:smallCaps w:val="0"/>
                <w:strike w:val="0"/>
                <w:highlight w:val="none"/>
              </w:rPr>
              <w:t>元/台班</w:t>
            </w:r>
          </w:p>
        </w:tc>
        <w:tc>
          <w:tcPr>
            <w:tcW w:w="3344" w:type="dxa"/>
            <w:vMerge w:val="continue"/>
            <w:tcBorders>
              <w:left w:val="single" w:color="auto" w:sz="4" w:space="0"/>
              <w:right w:val="single" w:color="auto" w:sz="4" w:space="0"/>
            </w:tcBorders>
            <w:vAlign w:val="center"/>
          </w:tcPr>
          <w:p w14:paraId="44DD9617">
            <w:pPr>
              <w:rPr>
                <w:highlight w:val="none"/>
              </w:rPr>
            </w:pPr>
          </w:p>
        </w:tc>
      </w:tr>
      <w:tr w14:paraId="2E99C11A">
        <w:tblPrEx>
          <w:tblCellMar>
            <w:top w:w="0" w:type="dxa"/>
            <w:left w:w="10" w:type="dxa"/>
            <w:bottom w:w="0" w:type="dxa"/>
            <w:right w:w="10" w:type="dxa"/>
          </w:tblCellMar>
        </w:tblPrEx>
        <w:trPr>
          <w:trHeight w:val="468" w:hRule="exact"/>
        </w:trPr>
        <w:tc>
          <w:tcPr>
            <w:tcW w:w="684" w:type="dxa"/>
            <w:tcBorders>
              <w:top w:val="single" w:color="auto" w:sz="4" w:space="0"/>
              <w:left w:val="single" w:color="auto" w:sz="4" w:space="0"/>
            </w:tcBorders>
            <w:vAlign w:val="center"/>
          </w:tcPr>
          <w:p w14:paraId="34C9BE83">
            <w:pPr>
              <w:pStyle w:val="22"/>
              <w:keepNext w:val="0"/>
              <w:keepLines w:val="0"/>
              <w:widowControl w:val="0"/>
              <w:shd w:val="clear" w:color="auto" w:fill="auto"/>
              <w:bidi w:val="0"/>
              <w:spacing w:before="0" w:after="0" w:line="240" w:lineRule="auto"/>
              <w:ind w:left="0" w:right="0" w:firstLine="260"/>
              <w:jc w:val="left"/>
              <w:rPr>
                <w:rStyle w:val="23"/>
                <w:rFonts w:hint="eastAsia" w:ascii="宋体" w:hAnsi="宋体" w:eastAsia="宋体" w:cs="宋体"/>
                <w:b w:val="0"/>
                <w:bCs w:val="0"/>
                <w:i w:val="0"/>
                <w:iCs w:val="0"/>
                <w:smallCaps w:val="0"/>
                <w:strike w:val="0"/>
                <w:sz w:val="24"/>
                <w:szCs w:val="24"/>
                <w:highlight w:val="none"/>
                <w:lang w:val="en-US" w:eastAsia="zh-CN"/>
              </w:rPr>
            </w:pPr>
            <w:r>
              <w:rPr>
                <w:rStyle w:val="23"/>
                <w:rFonts w:hint="eastAsia" w:ascii="宋体" w:hAnsi="宋体" w:eastAsia="宋体" w:cs="宋体"/>
                <w:b w:val="0"/>
                <w:bCs w:val="0"/>
                <w:i w:val="0"/>
                <w:iCs w:val="0"/>
                <w:smallCaps w:val="0"/>
                <w:strike w:val="0"/>
                <w:sz w:val="24"/>
                <w:szCs w:val="24"/>
                <w:highlight w:val="none"/>
                <w:lang w:val="en-US" w:eastAsia="zh-CN"/>
              </w:rPr>
              <w:t>3</w:t>
            </w:r>
          </w:p>
        </w:tc>
        <w:tc>
          <w:tcPr>
            <w:tcW w:w="1393" w:type="dxa"/>
            <w:tcBorders>
              <w:top w:val="single" w:color="auto" w:sz="4" w:space="0"/>
              <w:left w:val="single" w:color="auto" w:sz="4" w:space="0"/>
            </w:tcBorders>
            <w:vAlign w:val="center"/>
          </w:tcPr>
          <w:p w14:paraId="1E0CF995">
            <w:pPr>
              <w:pStyle w:val="22"/>
              <w:keepNext w:val="0"/>
              <w:keepLines w:val="0"/>
              <w:widowControl w:val="0"/>
              <w:shd w:val="clear" w:color="auto" w:fill="auto"/>
              <w:bidi w:val="0"/>
              <w:spacing w:before="0" w:after="0" w:line="240" w:lineRule="auto"/>
              <w:ind w:left="0" w:right="0" w:firstLine="0"/>
              <w:jc w:val="center"/>
              <w:rPr>
                <w:rStyle w:val="23"/>
                <w:rFonts w:hint="default" w:ascii="宋体" w:hAnsi="宋体" w:eastAsia="宋体" w:cs="宋体"/>
                <w:b w:val="0"/>
                <w:bCs w:val="0"/>
                <w:i w:val="0"/>
                <w:iCs w:val="0"/>
                <w:smallCaps w:val="0"/>
                <w:strike w:val="0"/>
                <w:sz w:val="24"/>
                <w:szCs w:val="24"/>
                <w:highlight w:val="none"/>
                <w:lang w:val="en-US" w:eastAsia="zh-CN"/>
              </w:rPr>
            </w:pPr>
            <w:r>
              <w:rPr>
                <w:rStyle w:val="23"/>
                <w:rFonts w:hint="eastAsia" w:ascii="宋体" w:hAnsi="宋体" w:eastAsia="宋体" w:cs="宋体"/>
                <w:b w:val="0"/>
                <w:bCs w:val="0"/>
                <w:i w:val="0"/>
                <w:iCs w:val="0"/>
                <w:smallCaps w:val="0"/>
                <w:strike w:val="0"/>
                <w:sz w:val="24"/>
                <w:szCs w:val="24"/>
                <w:highlight w:val="none"/>
                <w:lang w:val="en-US" w:eastAsia="zh-CN"/>
              </w:rPr>
              <w:t>货车</w:t>
            </w:r>
          </w:p>
        </w:tc>
        <w:tc>
          <w:tcPr>
            <w:tcW w:w="1552" w:type="dxa"/>
            <w:tcBorders>
              <w:top w:val="single" w:color="auto" w:sz="4" w:space="0"/>
              <w:left w:val="single" w:color="auto" w:sz="4" w:space="0"/>
            </w:tcBorders>
            <w:vAlign w:val="center"/>
          </w:tcPr>
          <w:p w14:paraId="74323207">
            <w:pPr>
              <w:pStyle w:val="22"/>
              <w:keepNext w:val="0"/>
              <w:keepLines w:val="0"/>
              <w:widowControl w:val="0"/>
              <w:shd w:val="clear" w:color="auto" w:fill="auto"/>
              <w:bidi w:val="0"/>
              <w:spacing w:before="0" w:after="0" w:line="240" w:lineRule="auto"/>
              <w:ind w:left="0" w:right="0" w:firstLine="0"/>
              <w:jc w:val="center"/>
              <w:rPr>
                <w:rStyle w:val="23"/>
                <w:rFonts w:hint="default" w:ascii="宋体" w:hAnsi="宋体" w:eastAsia="宋体" w:cs="宋体"/>
                <w:b w:val="0"/>
                <w:bCs w:val="0"/>
                <w:i w:val="0"/>
                <w:iCs w:val="0"/>
                <w:smallCaps w:val="0"/>
                <w:strike w:val="0"/>
                <w:sz w:val="24"/>
                <w:szCs w:val="24"/>
                <w:highlight w:val="none"/>
                <w:lang w:val="en-US" w:eastAsia="zh-CN"/>
              </w:rPr>
            </w:pPr>
            <w:r>
              <w:rPr>
                <w:rStyle w:val="23"/>
                <w:rFonts w:hint="eastAsia" w:ascii="宋体" w:hAnsi="宋体" w:eastAsia="宋体" w:cs="宋体"/>
                <w:b w:val="0"/>
                <w:bCs w:val="0"/>
                <w:i w:val="0"/>
                <w:iCs w:val="0"/>
                <w:smallCaps w:val="0"/>
                <w:strike w:val="0"/>
                <w:sz w:val="24"/>
                <w:szCs w:val="24"/>
                <w:highlight w:val="none"/>
                <w:lang w:val="en-US" w:eastAsia="zh-CN"/>
              </w:rPr>
              <w:t>9.6米</w:t>
            </w:r>
          </w:p>
        </w:tc>
        <w:tc>
          <w:tcPr>
            <w:tcW w:w="2279" w:type="dxa"/>
            <w:tcBorders>
              <w:top w:val="single" w:color="auto" w:sz="4" w:space="0"/>
              <w:left w:val="single" w:color="auto" w:sz="4" w:space="0"/>
            </w:tcBorders>
            <w:vAlign w:val="center"/>
          </w:tcPr>
          <w:p w14:paraId="5380E3FC">
            <w:pPr>
              <w:pStyle w:val="22"/>
              <w:keepNext w:val="0"/>
              <w:keepLines w:val="0"/>
              <w:widowControl w:val="0"/>
              <w:shd w:val="clear" w:color="auto" w:fill="auto"/>
              <w:bidi w:val="0"/>
              <w:spacing w:before="0" w:after="0" w:line="240" w:lineRule="auto"/>
              <w:ind w:left="0" w:right="0" w:firstLine="0"/>
              <w:jc w:val="center"/>
              <w:rPr>
                <w:rFonts w:hint="eastAsia" w:eastAsia="宋体"/>
                <w:highlight w:val="none"/>
                <w:lang w:val="en-US" w:eastAsia="zh-CN"/>
              </w:rPr>
            </w:pPr>
            <w:r>
              <w:rPr>
                <w:rStyle w:val="23"/>
                <w:b w:val="0"/>
                <w:bCs w:val="0"/>
                <w:i w:val="0"/>
                <w:iCs w:val="0"/>
                <w:smallCaps w:val="0"/>
                <w:strike w:val="0"/>
                <w:highlight w:val="none"/>
              </w:rPr>
              <w:t>元/</w:t>
            </w:r>
            <w:r>
              <w:rPr>
                <w:rFonts w:hint="eastAsia" w:eastAsia="宋体"/>
                <w:highlight w:val="none"/>
                <w:lang w:val="en-US" w:eastAsia="zh-CN"/>
              </w:rPr>
              <w:t>车次</w:t>
            </w:r>
          </w:p>
        </w:tc>
        <w:tc>
          <w:tcPr>
            <w:tcW w:w="3344" w:type="dxa"/>
            <w:vMerge w:val="continue"/>
            <w:tcBorders>
              <w:left w:val="single" w:color="auto" w:sz="4" w:space="0"/>
              <w:right w:val="single" w:color="auto" w:sz="4" w:space="0"/>
            </w:tcBorders>
            <w:vAlign w:val="center"/>
          </w:tcPr>
          <w:p w14:paraId="64D5743E">
            <w:pPr>
              <w:rPr>
                <w:highlight w:val="none"/>
              </w:rPr>
            </w:pPr>
          </w:p>
        </w:tc>
      </w:tr>
      <w:tr w14:paraId="62B90CB4">
        <w:tblPrEx>
          <w:tblCellMar>
            <w:top w:w="0" w:type="dxa"/>
            <w:left w:w="10" w:type="dxa"/>
            <w:bottom w:w="0" w:type="dxa"/>
            <w:right w:w="10" w:type="dxa"/>
          </w:tblCellMar>
        </w:tblPrEx>
        <w:trPr>
          <w:trHeight w:val="461" w:hRule="exact"/>
        </w:trPr>
        <w:tc>
          <w:tcPr>
            <w:tcW w:w="684" w:type="dxa"/>
            <w:tcBorders>
              <w:top w:val="single" w:color="auto" w:sz="4" w:space="0"/>
              <w:left w:val="single" w:color="auto" w:sz="4" w:space="0"/>
            </w:tcBorders>
            <w:vAlign w:val="center"/>
          </w:tcPr>
          <w:p w14:paraId="003F7BA5">
            <w:pPr>
              <w:pStyle w:val="22"/>
              <w:keepNext w:val="0"/>
              <w:keepLines w:val="0"/>
              <w:widowControl w:val="0"/>
              <w:shd w:val="clear" w:color="auto" w:fill="auto"/>
              <w:bidi w:val="0"/>
              <w:spacing w:before="0" w:after="0" w:line="240" w:lineRule="auto"/>
              <w:ind w:left="0" w:right="0" w:firstLine="260"/>
              <w:jc w:val="left"/>
              <w:rPr>
                <w:sz w:val="24"/>
                <w:szCs w:val="24"/>
                <w:highlight w:val="none"/>
              </w:rPr>
            </w:pPr>
          </w:p>
        </w:tc>
        <w:tc>
          <w:tcPr>
            <w:tcW w:w="1393" w:type="dxa"/>
            <w:tcBorders>
              <w:top w:val="single" w:color="auto" w:sz="4" w:space="0"/>
              <w:left w:val="single" w:color="auto" w:sz="4" w:space="0"/>
            </w:tcBorders>
            <w:vAlign w:val="center"/>
          </w:tcPr>
          <w:p w14:paraId="4F6C9631">
            <w:pPr>
              <w:pStyle w:val="22"/>
              <w:keepNext w:val="0"/>
              <w:keepLines w:val="0"/>
              <w:widowControl w:val="0"/>
              <w:shd w:val="clear" w:color="auto" w:fill="auto"/>
              <w:bidi w:val="0"/>
              <w:spacing w:before="0" w:after="0" w:line="240" w:lineRule="auto"/>
              <w:ind w:left="0" w:right="0" w:firstLine="0"/>
              <w:jc w:val="center"/>
              <w:rPr>
                <w:highlight w:val="none"/>
              </w:rPr>
            </w:pPr>
          </w:p>
        </w:tc>
        <w:tc>
          <w:tcPr>
            <w:tcW w:w="1552" w:type="dxa"/>
            <w:tcBorders>
              <w:top w:val="single" w:color="auto" w:sz="4" w:space="0"/>
              <w:left w:val="single" w:color="auto" w:sz="4" w:space="0"/>
            </w:tcBorders>
            <w:vAlign w:val="center"/>
          </w:tcPr>
          <w:p w14:paraId="6A7BEAB9">
            <w:pPr>
              <w:pStyle w:val="22"/>
              <w:keepNext w:val="0"/>
              <w:keepLines w:val="0"/>
              <w:widowControl w:val="0"/>
              <w:shd w:val="clear" w:color="auto" w:fill="auto"/>
              <w:bidi w:val="0"/>
              <w:spacing w:before="0" w:after="0" w:line="240" w:lineRule="auto"/>
              <w:ind w:left="0" w:right="0" w:firstLine="0"/>
              <w:jc w:val="center"/>
              <w:rPr>
                <w:highlight w:val="none"/>
              </w:rPr>
            </w:pPr>
          </w:p>
        </w:tc>
        <w:tc>
          <w:tcPr>
            <w:tcW w:w="2279" w:type="dxa"/>
            <w:tcBorders>
              <w:top w:val="single" w:color="auto" w:sz="4" w:space="0"/>
              <w:left w:val="single" w:color="auto" w:sz="4" w:space="0"/>
            </w:tcBorders>
            <w:vAlign w:val="center"/>
          </w:tcPr>
          <w:p w14:paraId="11C19F17">
            <w:pPr>
              <w:pStyle w:val="22"/>
              <w:keepNext w:val="0"/>
              <w:keepLines w:val="0"/>
              <w:widowControl w:val="0"/>
              <w:shd w:val="clear" w:color="auto" w:fill="auto"/>
              <w:bidi w:val="0"/>
              <w:spacing w:before="0" w:after="0" w:line="240" w:lineRule="auto"/>
              <w:ind w:left="0" w:right="0" w:firstLine="0"/>
              <w:jc w:val="center"/>
              <w:rPr>
                <w:highlight w:val="none"/>
              </w:rPr>
            </w:pPr>
          </w:p>
        </w:tc>
        <w:tc>
          <w:tcPr>
            <w:tcW w:w="3344" w:type="dxa"/>
            <w:vMerge w:val="continue"/>
            <w:tcBorders>
              <w:left w:val="single" w:color="auto" w:sz="4" w:space="0"/>
              <w:right w:val="single" w:color="auto" w:sz="4" w:space="0"/>
            </w:tcBorders>
            <w:vAlign w:val="center"/>
          </w:tcPr>
          <w:p w14:paraId="7128592A">
            <w:pPr>
              <w:rPr>
                <w:highlight w:val="none"/>
              </w:rPr>
            </w:pPr>
          </w:p>
        </w:tc>
      </w:tr>
      <w:tr w14:paraId="2E904B65">
        <w:tblPrEx>
          <w:tblCellMar>
            <w:top w:w="0" w:type="dxa"/>
            <w:left w:w="10" w:type="dxa"/>
            <w:bottom w:w="0" w:type="dxa"/>
            <w:right w:w="10" w:type="dxa"/>
          </w:tblCellMar>
        </w:tblPrEx>
        <w:trPr>
          <w:trHeight w:val="644" w:hRule="exact"/>
        </w:trPr>
        <w:tc>
          <w:tcPr>
            <w:tcW w:w="684" w:type="dxa"/>
            <w:tcBorders>
              <w:top w:val="single" w:color="auto" w:sz="4" w:space="0"/>
              <w:left w:val="single" w:color="auto" w:sz="4" w:space="0"/>
              <w:bottom w:val="single" w:color="auto" w:sz="4" w:space="0"/>
            </w:tcBorders>
            <w:vAlign w:val="center"/>
          </w:tcPr>
          <w:p w14:paraId="0232DF39">
            <w:pPr>
              <w:pStyle w:val="22"/>
              <w:keepNext w:val="0"/>
              <w:keepLines w:val="0"/>
              <w:widowControl w:val="0"/>
              <w:shd w:val="clear" w:color="auto" w:fill="auto"/>
              <w:bidi w:val="0"/>
              <w:spacing w:before="0" w:after="0" w:line="240" w:lineRule="auto"/>
              <w:ind w:left="0" w:right="0" w:firstLine="260"/>
              <w:jc w:val="left"/>
              <w:rPr>
                <w:rFonts w:hint="eastAsia" w:eastAsia="宋体"/>
                <w:sz w:val="24"/>
                <w:szCs w:val="24"/>
                <w:highlight w:val="none"/>
                <w:lang w:eastAsia="zh-CN"/>
              </w:rPr>
            </w:pPr>
          </w:p>
        </w:tc>
        <w:tc>
          <w:tcPr>
            <w:tcW w:w="1393" w:type="dxa"/>
            <w:tcBorders>
              <w:top w:val="single" w:color="auto" w:sz="4" w:space="0"/>
              <w:left w:val="single" w:color="auto" w:sz="4" w:space="0"/>
              <w:bottom w:val="single" w:color="auto" w:sz="4" w:space="0"/>
            </w:tcBorders>
            <w:vAlign w:val="center"/>
          </w:tcPr>
          <w:p w14:paraId="498C2194">
            <w:pPr>
              <w:pStyle w:val="22"/>
              <w:keepNext w:val="0"/>
              <w:keepLines w:val="0"/>
              <w:widowControl w:val="0"/>
              <w:shd w:val="clear" w:color="auto" w:fill="auto"/>
              <w:bidi w:val="0"/>
              <w:spacing w:before="0" w:after="0" w:line="240" w:lineRule="auto"/>
              <w:ind w:left="0" w:right="0" w:firstLine="0"/>
              <w:jc w:val="center"/>
              <w:rPr>
                <w:highlight w:val="none"/>
              </w:rPr>
            </w:pPr>
          </w:p>
        </w:tc>
        <w:tc>
          <w:tcPr>
            <w:tcW w:w="1552" w:type="dxa"/>
            <w:tcBorders>
              <w:top w:val="single" w:color="auto" w:sz="4" w:space="0"/>
              <w:left w:val="single" w:color="auto" w:sz="4" w:space="0"/>
              <w:bottom w:val="single" w:color="auto" w:sz="4" w:space="0"/>
            </w:tcBorders>
            <w:vAlign w:val="top"/>
          </w:tcPr>
          <w:p w14:paraId="066144FE">
            <w:pPr>
              <w:pStyle w:val="22"/>
              <w:keepNext w:val="0"/>
              <w:keepLines w:val="0"/>
              <w:widowControl w:val="0"/>
              <w:shd w:val="clear" w:color="auto" w:fill="auto"/>
              <w:bidi w:val="0"/>
              <w:spacing w:before="0" w:after="0" w:line="338" w:lineRule="exact"/>
              <w:ind w:left="0" w:right="0" w:firstLine="0"/>
              <w:jc w:val="center"/>
              <w:rPr>
                <w:highlight w:val="none"/>
              </w:rPr>
            </w:pPr>
          </w:p>
        </w:tc>
        <w:tc>
          <w:tcPr>
            <w:tcW w:w="2279" w:type="dxa"/>
            <w:tcBorders>
              <w:top w:val="single" w:color="auto" w:sz="4" w:space="0"/>
              <w:left w:val="single" w:color="auto" w:sz="4" w:space="0"/>
              <w:bottom w:val="single" w:color="auto" w:sz="4" w:space="0"/>
            </w:tcBorders>
            <w:vAlign w:val="center"/>
          </w:tcPr>
          <w:p w14:paraId="4FAFFC1B">
            <w:pPr>
              <w:pStyle w:val="22"/>
              <w:keepNext w:val="0"/>
              <w:keepLines w:val="0"/>
              <w:widowControl w:val="0"/>
              <w:shd w:val="clear" w:color="auto" w:fill="auto"/>
              <w:bidi w:val="0"/>
              <w:spacing w:before="0" w:after="0" w:line="240" w:lineRule="auto"/>
              <w:ind w:left="0" w:right="0" w:firstLine="0"/>
              <w:jc w:val="center"/>
              <w:rPr>
                <w:highlight w:val="none"/>
              </w:rPr>
            </w:pPr>
          </w:p>
        </w:tc>
        <w:tc>
          <w:tcPr>
            <w:tcW w:w="3344" w:type="dxa"/>
            <w:vMerge w:val="continue"/>
            <w:tcBorders>
              <w:left w:val="single" w:color="auto" w:sz="4" w:space="0"/>
              <w:right w:val="single" w:color="auto" w:sz="4" w:space="0"/>
            </w:tcBorders>
            <w:vAlign w:val="center"/>
          </w:tcPr>
          <w:p w14:paraId="0FE42EAE">
            <w:pPr>
              <w:rPr>
                <w:highlight w:val="none"/>
              </w:rPr>
            </w:pPr>
          </w:p>
        </w:tc>
      </w:tr>
      <w:tr w14:paraId="058A1B1F">
        <w:tblPrEx>
          <w:tblCellMar>
            <w:top w:w="0" w:type="dxa"/>
            <w:left w:w="10" w:type="dxa"/>
            <w:bottom w:w="0" w:type="dxa"/>
            <w:right w:w="10" w:type="dxa"/>
          </w:tblCellMar>
        </w:tblPrEx>
        <w:trPr>
          <w:trHeight w:val="644" w:hRule="exact"/>
        </w:trPr>
        <w:tc>
          <w:tcPr>
            <w:tcW w:w="9252" w:type="dxa"/>
            <w:gridSpan w:val="5"/>
            <w:tcBorders>
              <w:top w:val="single" w:color="auto" w:sz="4" w:space="0"/>
              <w:left w:val="single" w:color="auto" w:sz="4" w:space="0"/>
              <w:bottom w:val="single" w:color="auto" w:sz="4" w:space="0"/>
              <w:right w:val="single" w:color="auto" w:sz="4" w:space="0"/>
            </w:tcBorders>
            <w:vAlign w:val="center"/>
          </w:tcPr>
          <w:p w14:paraId="79BBE6CF">
            <w:pPr>
              <w:rPr>
                <w:highlight w:val="none"/>
              </w:rPr>
            </w:pPr>
            <w:r>
              <w:rPr>
                <w:rStyle w:val="23"/>
                <w:rFonts w:hint="eastAsia"/>
                <w:b w:val="0"/>
                <w:bCs w:val="0"/>
                <w:i w:val="0"/>
                <w:iCs w:val="0"/>
                <w:smallCaps w:val="0"/>
                <w:strike w:val="0"/>
                <w:kern w:val="2"/>
                <w:highlight w:val="none"/>
              </w:rPr>
              <w:t>价格说明:本价格表中的金额均为人民币价格，且金额均为含税价，税率为</w:t>
            </w:r>
            <w:r>
              <w:rPr>
                <w:rStyle w:val="23"/>
                <w:rFonts w:hint="eastAsia" w:eastAsia="宋体"/>
                <w:b w:val="0"/>
                <w:bCs w:val="0"/>
                <w:i w:val="0"/>
                <w:iCs w:val="0"/>
                <w:smallCaps w:val="0"/>
                <w:strike w:val="0"/>
                <w:kern w:val="2"/>
                <w:highlight w:val="none"/>
                <w:lang w:val="en-US" w:eastAsia="zh-CN"/>
              </w:rPr>
              <w:t xml:space="preserve">  </w:t>
            </w:r>
            <w:r>
              <w:rPr>
                <w:rStyle w:val="23"/>
                <w:rFonts w:hint="eastAsia"/>
                <w:b w:val="0"/>
                <w:bCs w:val="0"/>
                <w:i w:val="0"/>
                <w:iCs w:val="0"/>
                <w:smallCaps w:val="0"/>
                <w:strike w:val="0"/>
                <w:kern w:val="2"/>
                <w:highlight w:val="none"/>
                <w:lang w:val="en-US" w:eastAsia="zh-CN"/>
              </w:rPr>
              <w:t>%</w:t>
            </w:r>
            <w:r>
              <w:rPr>
                <w:rStyle w:val="23"/>
                <w:rFonts w:hint="eastAsia"/>
                <w:b w:val="0"/>
                <w:bCs w:val="0"/>
                <w:i w:val="0"/>
                <w:iCs w:val="0"/>
                <w:smallCaps w:val="0"/>
                <w:strike w:val="0"/>
                <w:kern w:val="2"/>
                <w:highlight w:val="none"/>
              </w:rPr>
              <w:t>。</w:t>
            </w:r>
          </w:p>
        </w:tc>
      </w:tr>
    </w:tbl>
    <w:p w14:paraId="727B4127">
      <w:pPr>
        <w:rPr>
          <w:rFonts w:hint="eastAsia"/>
          <w:highlight w:val="none"/>
        </w:rPr>
      </w:pPr>
    </w:p>
    <w:p w14:paraId="165CB81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第七条  违约责任</w:t>
      </w:r>
    </w:p>
    <w:p w14:paraId="72F1E2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吊运服务违反本合同的约定，违约方应当按《民法典》有关及以下条款承担违约责任。</w:t>
      </w:r>
    </w:p>
    <w:p w14:paraId="5A23196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7.1 甲方违反本合同约定，未及时支付合同款项的，每迟延一日应承担应付部分合同金额万分之五的违约金。</w:t>
      </w:r>
    </w:p>
    <w:p w14:paraId="178313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7.2 乙方违反本合同约定，未及时完成吊运任务的，应按照本合同计价方式承担具体吊运服务所涉及金额10%的违约金，甲方要求乙方继续履行合同的，乙方应继续履行合同。</w:t>
      </w:r>
    </w:p>
    <w:p w14:paraId="6DA4E5E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第八条  不可抗力</w:t>
      </w:r>
    </w:p>
    <w:p w14:paraId="74CBF7B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8.1 本合同所指的不可抗力（或人力不可抗拒）事件是指在执行本合同书过程中，由于重大自然灾害（指自然界的火灾、地震、洪水、台风等，并非一般的气候或环境恶劣）或国家计划的重大调整或政府法律、法令的变更使当事人一方无法合理控制的、足以致使本合同书无法继续履行或不能完全履行的事件。</w:t>
      </w:r>
    </w:p>
    <w:p w14:paraId="5016C91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8.2如发生不可抗力事件，受影响一方应在发生不可抗力事件后一周内通过电报、电传、特快专递或其它书面方式，将发生情况及政府有关部门出具的证明文件交给对方，以便得到对方的认可。同时，受影响一方应尽一切合理努力消除或减轻该事件造成的损失。</w:t>
      </w:r>
    </w:p>
    <w:p w14:paraId="7E9B72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8.3 执行本合同书期间发生的人力不可抗拒事件，甲、乙双方应各自承担由此造成的自身的损失，并不得牵连对方。</w:t>
      </w:r>
    </w:p>
    <w:p w14:paraId="25B7A2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8.4不可抗拒事件结束后，甲、乙双方应尽快承担继续履行本合同书的义务，如因此造成本合同书不能完全履行，能够履行的部分仍按本合同书的约定执行。</w:t>
      </w:r>
    </w:p>
    <w:p w14:paraId="641D564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8.5 因不可抗力事件致使本合同书中断后，再恢复履行本合同书有明显困难时，甲、乙双方应通过友好协商确定是否及如何继续履行本合同书，如不能取得一致意见，可提交仲裁机构解决。</w:t>
      </w:r>
    </w:p>
    <w:p w14:paraId="1A30282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第九条  合同变更</w:t>
      </w:r>
    </w:p>
    <w:p w14:paraId="64F5E14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签约双方确认，在履行合同过程中对于具体内容需要变更的，由签约双方另行协商并书面约定，作为本合同的变更文本，该文本与本合同具有同等效力。</w:t>
      </w:r>
    </w:p>
    <w:p w14:paraId="72976DE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第十条  争议解决方式</w:t>
      </w:r>
    </w:p>
    <w:p w14:paraId="0BC11DD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合同履行过程中发生争议，双方应当协商解决。当事人不愿协商、调解解决或者协调、调解不成的，</w:t>
      </w:r>
      <w:r>
        <w:rPr>
          <w:rFonts w:hint="eastAsia" w:ascii="宋体" w:hAnsi="宋体" w:eastAsia="宋体" w:cs="Arial"/>
          <w:kern w:val="0"/>
          <w:sz w:val="24"/>
          <w:szCs w:val="24"/>
          <w:highlight w:val="none"/>
          <w:lang w:val="en-US" w:eastAsia="zh-CN" w:bidi="ar-SA"/>
        </w:rPr>
        <w:t>可诉讼至</w:t>
      </w:r>
      <w:r>
        <w:rPr>
          <w:rFonts w:hint="eastAsia" w:ascii="宋体" w:hAnsi="宋体" w:cs="Arial"/>
          <w:kern w:val="0"/>
          <w:sz w:val="24"/>
          <w:szCs w:val="24"/>
          <w:highlight w:val="none"/>
          <w:lang w:val="en-US" w:eastAsia="zh-CN" w:bidi="ar-SA"/>
        </w:rPr>
        <w:t>固原市原州区</w:t>
      </w:r>
      <w:r>
        <w:rPr>
          <w:rFonts w:hint="eastAsia" w:ascii="宋体" w:hAnsi="宋体" w:eastAsia="宋体" w:cs="Arial"/>
          <w:kern w:val="0"/>
          <w:sz w:val="24"/>
          <w:szCs w:val="24"/>
          <w:highlight w:val="none"/>
          <w:lang w:val="en-US" w:eastAsia="zh-CN" w:bidi="ar-SA"/>
        </w:rPr>
        <w:t>人民法院。</w:t>
      </w:r>
    </w:p>
    <w:p w14:paraId="221577C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第十一条  其它</w:t>
      </w:r>
    </w:p>
    <w:p w14:paraId="643FA68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11.1 本合同自甲乙双方签字盖章之日起生效。本合同一式肆份，双方各执贰份。</w:t>
      </w:r>
    </w:p>
    <w:p w14:paraId="51DFF53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r>
        <w:rPr>
          <w:rFonts w:hint="eastAsia" w:ascii="宋体" w:hAnsi="宋体" w:eastAsia="宋体" w:cs="Arial"/>
          <w:kern w:val="0"/>
          <w:sz w:val="24"/>
          <w:szCs w:val="24"/>
          <w:highlight w:val="none"/>
          <w:lang w:val="en-US" w:eastAsia="zh-CN" w:bidi="ar-SA"/>
        </w:rPr>
        <w:t>11.2 本合同部分条款的无效不影响其它条款的效力。</w:t>
      </w:r>
    </w:p>
    <w:p w14:paraId="58F8730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Arial"/>
          <w:kern w:val="0"/>
          <w:sz w:val="24"/>
          <w:szCs w:val="24"/>
          <w:highlight w:val="none"/>
          <w:lang w:val="en-US" w:eastAsia="zh-CN" w:bidi="ar-SA"/>
        </w:rPr>
      </w:pPr>
    </w:p>
    <w:p w14:paraId="1C78E895">
      <w:pPr>
        <w:pStyle w:val="2"/>
        <w:rPr>
          <w:rFonts w:hint="eastAsia"/>
          <w:highlight w:val="none"/>
          <w:lang w:val="en-US" w:eastAsia="zh-CN"/>
        </w:rPr>
      </w:pPr>
    </w:p>
    <w:p w14:paraId="7315AA82">
      <w:pPr>
        <w:keepNext w:val="0"/>
        <w:keepLines w:val="0"/>
        <w:pageBreakBefore w:val="0"/>
        <w:widowControl w:val="0"/>
        <w:kinsoku/>
        <w:wordWrap/>
        <w:overflowPunct/>
        <w:topLinePunct w:val="0"/>
        <w:autoSpaceDE/>
        <w:autoSpaceDN/>
        <w:bidi w:val="0"/>
        <w:adjustRightInd/>
        <w:snapToGrid/>
        <w:spacing w:line="360" w:lineRule="auto"/>
        <w:jc w:val="both"/>
        <w:textAlignment w:val="center"/>
        <w:outlineLvl w:val="9"/>
        <w:rPr>
          <w:rFonts w:hint="eastAsia" w:ascii="宋体" w:hAnsi="宋体"/>
          <w:sz w:val="24"/>
          <w:highlight w:val="none"/>
        </w:rPr>
      </w:pPr>
      <w:r>
        <w:rPr>
          <w:rFonts w:hint="eastAsia" w:ascii="宋体" w:hAnsi="宋体"/>
          <w:sz w:val="24"/>
          <w:highlight w:val="none"/>
        </w:rPr>
        <w:t>甲       方：</w:t>
      </w:r>
      <w:r>
        <w:rPr>
          <w:rFonts w:hint="eastAsia" w:ascii="宋体" w:hAnsi="宋体" w:cs="Times New Roman"/>
          <w:sz w:val="24"/>
          <w:highlight w:val="none"/>
          <w:lang w:val="en-US" w:eastAsia="zh-CN"/>
        </w:rPr>
        <w:t>江苏煤炭地质勘探三队</w:t>
      </w:r>
      <w:r>
        <w:rPr>
          <w:rFonts w:hint="eastAsia" w:ascii="宋体" w:hAnsi="宋体"/>
          <w:sz w:val="24"/>
          <w:highlight w:val="none"/>
        </w:rPr>
        <w:t>（盖章）</w:t>
      </w:r>
    </w:p>
    <w:p w14:paraId="4F192C84">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sz w:val="24"/>
          <w:highlight w:val="none"/>
        </w:rPr>
      </w:pPr>
      <w:r>
        <w:rPr>
          <w:rFonts w:hint="eastAsia" w:ascii="宋体" w:hAnsi="宋体"/>
          <w:sz w:val="24"/>
          <w:highlight w:val="none"/>
        </w:rPr>
        <w:t>地       址：</w:t>
      </w:r>
    </w:p>
    <w:p w14:paraId="3614B621">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sz w:val="24"/>
          <w:highlight w:val="none"/>
        </w:rPr>
      </w:pPr>
      <w:r>
        <w:rPr>
          <w:rFonts w:hint="eastAsia" w:ascii="宋体" w:hAnsi="宋体"/>
          <w:sz w:val="24"/>
          <w:highlight w:val="none"/>
        </w:rPr>
        <w:t>法 定 代 表人：</w:t>
      </w:r>
      <w:r>
        <w:rPr>
          <w:rFonts w:hint="eastAsia" w:ascii="宋体" w:hAnsi="宋体"/>
          <w:sz w:val="24"/>
          <w:highlight w:val="none"/>
          <w:lang w:val="en-US" w:eastAsia="zh-CN"/>
        </w:rPr>
        <w:t xml:space="preserve">                           </w:t>
      </w:r>
      <w:r>
        <w:rPr>
          <w:rFonts w:hint="eastAsia" w:ascii="宋体" w:hAnsi="宋体"/>
          <w:sz w:val="24"/>
          <w:highlight w:val="none"/>
        </w:rPr>
        <w:t>或授托代理人（签字）：</w:t>
      </w:r>
    </w:p>
    <w:p w14:paraId="0197A0D0">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sz w:val="24"/>
          <w:highlight w:val="none"/>
        </w:rPr>
      </w:pPr>
      <w:r>
        <w:rPr>
          <w:rFonts w:hint="eastAsia" w:ascii="宋体" w:hAnsi="宋体"/>
          <w:sz w:val="24"/>
          <w:highlight w:val="none"/>
        </w:rPr>
        <w:t>电       话：</w:t>
      </w:r>
      <w:r>
        <w:rPr>
          <w:rFonts w:hint="eastAsia" w:ascii="宋体" w:hAnsi="宋体"/>
          <w:sz w:val="24"/>
          <w:highlight w:val="none"/>
          <w:lang w:val="en-US" w:eastAsia="zh-CN"/>
        </w:rPr>
        <w:t xml:space="preserve">                   </w:t>
      </w:r>
      <w:r>
        <w:rPr>
          <w:rFonts w:hint="eastAsia" w:ascii="宋体" w:hAnsi="宋体"/>
          <w:sz w:val="24"/>
          <w:highlight w:val="none"/>
        </w:rPr>
        <w:t xml:space="preserve"> 传    真：</w:t>
      </w:r>
    </w:p>
    <w:p w14:paraId="61F51F19">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eastAsia="宋体"/>
          <w:sz w:val="24"/>
          <w:highlight w:val="none"/>
          <w:lang w:eastAsia="zh-CN"/>
        </w:rPr>
      </w:pPr>
      <w:r>
        <w:rPr>
          <w:rFonts w:hint="eastAsia" w:ascii="宋体" w:hAnsi="宋体"/>
          <w:sz w:val="24"/>
          <w:highlight w:val="none"/>
          <w:lang w:val="en-US" w:eastAsia="zh-CN"/>
        </w:rPr>
        <w:t xml:space="preserve">开户银行：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帐    号：</w:t>
      </w:r>
      <w:r>
        <w:rPr>
          <w:rFonts w:hint="eastAsia" w:ascii="宋体" w:hAnsi="宋体"/>
          <w:sz w:val="24"/>
          <w:highlight w:val="none"/>
          <w:lang w:val="en-US" w:eastAsia="zh-CN"/>
        </w:rPr>
        <w:t xml:space="preserve"> </w:t>
      </w:r>
    </w:p>
    <w:p w14:paraId="4514687F">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sz w:val="24"/>
          <w:highlight w:val="none"/>
        </w:rPr>
      </w:pPr>
    </w:p>
    <w:p w14:paraId="50F7245D">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sz w:val="24"/>
          <w:highlight w:val="none"/>
        </w:rPr>
      </w:pPr>
      <w:r>
        <w:rPr>
          <w:rFonts w:hint="eastAsia" w:ascii="宋体" w:hAnsi="宋体"/>
          <w:sz w:val="24"/>
          <w:highlight w:val="none"/>
        </w:rPr>
        <w:t>乙       方：</w:t>
      </w:r>
      <w:r>
        <w:rPr>
          <w:rFonts w:hint="eastAsia" w:ascii="宋体" w:hAnsi="宋体"/>
          <w:sz w:val="24"/>
          <w:highlight w:val="none"/>
          <w:lang w:val="en-US" w:eastAsia="zh-CN"/>
        </w:rPr>
        <w:t xml:space="preserve">   </w:t>
      </w:r>
      <w:r>
        <w:rPr>
          <w:rFonts w:hint="eastAsia" w:ascii="宋体" w:hAnsi="宋体"/>
          <w:sz w:val="24"/>
          <w:highlight w:val="none"/>
        </w:rPr>
        <w:t>（盖章）</w:t>
      </w:r>
    </w:p>
    <w:p w14:paraId="44506FB8">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sz w:val="24"/>
          <w:highlight w:val="none"/>
        </w:rPr>
      </w:pPr>
      <w:r>
        <w:rPr>
          <w:rFonts w:hint="eastAsia" w:ascii="宋体" w:hAnsi="宋体"/>
          <w:sz w:val="24"/>
          <w:highlight w:val="none"/>
        </w:rPr>
        <w:t>地       址：</w:t>
      </w:r>
    </w:p>
    <w:p w14:paraId="24563760">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sz w:val="24"/>
          <w:highlight w:val="none"/>
        </w:rPr>
      </w:pPr>
      <w:r>
        <w:rPr>
          <w:rFonts w:hint="eastAsia" w:ascii="宋体" w:hAnsi="宋体"/>
          <w:sz w:val="24"/>
          <w:highlight w:val="none"/>
        </w:rPr>
        <w:t>法 定 代 表人：</w:t>
      </w:r>
      <w:r>
        <w:rPr>
          <w:rFonts w:hint="eastAsia" w:ascii="宋体" w:hAnsi="宋体"/>
          <w:sz w:val="24"/>
          <w:highlight w:val="none"/>
          <w:lang w:val="en-US" w:eastAsia="zh-CN"/>
        </w:rPr>
        <w:t xml:space="preserve">                  </w:t>
      </w:r>
      <w:r>
        <w:rPr>
          <w:rFonts w:hint="eastAsia" w:ascii="宋体" w:hAnsi="宋体"/>
          <w:sz w:val="24"/>
          <w:highlight w:val="none"/>
        </w:rPr>
        <w:t>或授托代理人（签字）：</w:t>
      </w:r>
    </w:p>
    <w:p w14:paraId="32C7AC38">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sz w:val="24"/>
          <w:highlight w:val="none"/>
        </w:rPr>
      </w:pPr>
      <w:r>
        <w:rPr>
          <w:rFonts w:hint="eastAsia" w:ascii="宋体" w:hAnsi="宋体"/>
          <w:sz w:val="24"/>
          <w:highlight w:val="none"/>
        </w:rPr>
        <w:t xml:space="preserve">电       话： </w:t>
      </w:r>
      <w:r>
        <w:rPr>
          <w:rFonts w:hint="eastAsia" w:ascii="宋体" w:hAnsi="宋体"/>
          <w:sz w:val="24"/>
          <w:highlight w:val="none"/>
          <w:lang w:val="en-US" w:eastAsia="zh-CN"/>
        </w:rPr>
        <w:t xml:space="preserve">   </w:t>
      </w:r>
      <w:r>
        <w:rPr>
          <w:rFonts w:hint="eastAsia" w:ascii="宋体" w:hAnsi="宋体"/>
          <w:sz w:val="24"/>
          <w:highlight w:val="none"/>
        </w:rPr>
        <w:t xml:space="preserve">                传    真： </w:t>
      </w:r>
    </w:p>
    <w:p w14:paraId="1FB9F7CD">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sz w:val="24"/>
          <w:highlight w:val="none"/>
        </w:rPr>
      </w:pPr>
      <w:r>
        <w:rPr>
          <w:rFonts w:hint="eastAsia" w:ascii="宋体" w:hAnsi="宋体"/>
          <w:sz w:val="24"/>
          <w:highlight w:val="none"/>
        </w:rPr>
        <w:t>开 户 银 行：</w:t>
      </w:r>
    </w:p>
    <w:p w14:paraId="28B72EFC">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sz w:val="24"/>
          <w:highlight w:val="none"/>
        </w:rPr>
      </w:pPr>
      <w:r>
        <w:rPr>
          <w:rFonts w:hint="eastAsia" w:ascii="宋体" w:hAnsi="宋体"/>
          <w:sz w:val="24"/>
          <w:highlight w:val="none"/>
        </w:rPr>
        <w:t>帐</w:t>
      </w:r>
      <w:r>
        <w:rPr>
          <w:rFonts w:hint="eastAsia" w:ascii="宋体" w:hAnsi="宋体" w:eastAsia="宋体" w:cs="Times New Roman"/>
          <w:sz w:val="24"/>
          <w:highlight w:val="none"/>
        </w:rPr>
        <w:t xml:space="preserve">   </w:t>
      </w:r>
      <w:r>
        <w:rPr>
          <w:rFonts w:ascii="宋体" w:hAnsi="宋体" w:eastAsia="宋体" w:cs="Times New Roman"/>
          <w:sz w:val="24"/>
          <w:highlight w:val="none"/>
        </w:rPr>
        <w:t xml:space="preserve">   </w:t>
      </w:r>
      <w:r>
        <w:rPr>
          <w:rFonts w:hint="eastAsia" w:ascii="宋体" w:hAnsi="宋体" w:eastAsia="宋体" w:cs="Times New Roman"/>
          <w:sz w:val="24"/>
          <w:highlight w:val="none"/>
        </w:rPr>
        <w:t xml:space="preserve"> 号：</w:t>
      </w:r>
    </w:p>
    <w:p w14:paraId="44397BAD">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sz w:val="24"/>
          <w:highlight w:val="none"/>
        </w:rPr>
      </w:pPr>
    </w:p>
    <w:p w14:paraId="02C1AAF1">
      <w:pPr>
        <w:wordWrap w:val="0"/>
        <w:spacing w:line="360" w:lineRule="auto"/>
        <w:jc w:val="right"/>
        <w:rPr>
          <w:rFonts w:hint="eastAsia"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 xml:space="preserve">日 </w:t>
      </w:r>
      <w:r>
        <w:rPr>
          <w:rFonts w:ascii="宋体" w:hAnsi="宋体"/>
          <w:sz w:val="24"/>
          <w:highlight w:val="none"/>
        </w:rPr>
        <w:t xml:space="preserve">  </w:t>
      </w:r>
    </w:p>
    <w:p w14:paraId="05903A61">
      <w:pPr>
        <w:rPr>
          <w:highlight w:val="none"/>
        </w:rPr>
      </w:pPr>
    </w:p>
    <w:p w14:paraId="2D79E757">
      <w:pPr>
        <w:pStyle w:val="3"/>
        <w:spacing w:before="0" w:after="0" w:line="660" w:lineRule="exact"/>
        <w:jc w:val="center"/>
        <w:rPr>
          <w:rFonts w:hint="eastAsia" w:ascii="Arial Unicode MS" w:hAnsi="仿宋_GB2312" w:eastAsia="Arial Unicode MS"/>
          <w:b w:val="0"/>
          <w:bCs/>
          <w:szCs w:val="44"/>
          <w:highlight w:val="none"/>
        </w:rPr>
      </w:pPr>
      <w:r>
        <w:rPr>
          <w:rFonts w:hint="eastAsia" w:ascii="Arial Unicode MS" w:hAnsi="仿宋_GB2312" w:eastAsia="Arial Unicode MS"/>
          <w:b w:val="0"/>
          <w:bCs/>
          <w:szCs w:val="44"/>
          <w:highlight w:val="none"/>
        </w:rPr>
        <w:br w:type="page"/>
      </w:r>
    </w:p>
    <w:p w14:paraId="39F6006C">
      <w:pPr>
        <w:pStyle w:val="3"/>
        <w:spacing w:before="0" w:after="0" w:line="660" w:lineRule="exact"/>
        <w:jc w:val="center"/>
        <w:rPr>
          <w:rFonts w:ascii="Arial Unicode MS" w:hAnsi="仿宋_GB2312" w:eastAsia="Arial Unicode MS"/>
          <w:b w:val="0"/>
          <w:bCs/>
          <w:szCs w:val="44"/>
          <w:highlight w:val="none"/>
        </w:rPr>
      </w:pPr>
      <w:r>
        <w:rPr>
          <w:rFonts w:hint="eastAsia" w:ascii="Arial Unicode MS" w:hAnsi="仿宋_GB2312" w:eastAsia="Arial Unicode MS"/>
          <w:b w:val="0"/>
          <w:bCs/>
          <w:szCs w:val="44"/>
          <w:highlight w:val="none"/>
        </w:rPr>
        <w:t>第</w:t>
      </w:r>
      <w:r>
        <w:rPr>
          <w:rFonts w:hint="eastAsia" w:ascii="Arial Unicode MS" w:hAnsi="仿宋_GB2312" w:eastAsia="Arial Unicode MS"/>
          <w:b w:val="0"/>
          <w:bCs/>
          <w:szCs w:val="44"/>
          <w:highlight w:val="none"/>
          <w:lang w:val="en-US" w:eastAsia="zh-CN"/>
        </w:rPr>
        <w:t>四</w:t>
      </w:r>
      <w:r>
        <w:rPr>
          <w:rFonts w:hint="eastAsia" w:ascii="Arial Unicode MS" w:hAnsi="仿宋_GB2312" w:eastAsia="Arial Unicode MS"/>
          <w:b w:val="0"/>
          <w:bCs/>
          <w:szCs w:val="44"/>
          <w:highlight w:val="none"/>
        </w:rPr>
        <w:t>章  谈判响应文件格式</w:t>
      </w:r>
      <w:bookmarkEnd w:id="13"/>
      <w:bookmarkEnd w:id="14"/>
      <w:bookmarkEnd w:id="15"/>
      <w:bookmarkEnd w:id="16"/>
    </w:p>
    <w:p w14:paraId="0B5D666D">
      <w:pPr>
        <w:spacing w:line="360" w:lineRule="auto"/>
        <w:ind w:firstLine="900" w:firstLineChars="249"/>
        <w:rPr>
          <w:rFonts w:ascii="仿宋_GB2312" w:eastAsia="仿宋_GB2312"/>
          <w:b/>
          <w:bCs/>
          <w:sz w:val="36"/>
          <w:szCs w:val="36"/>
          <w:highlight w:val="none"/>
          <w:u w:val="single"/>
        </w:rPr>
      </w:pPr>
    </w:p>
    <w:p w14:paraId="0BD651A8">
      <w:pPr>
        <w:spacing w:line="360" w:lineRule="auto"/>
        <w:ind w:firstLine="900" w:firstLineChars="249"/>
        <w:rPr>
          <w:rFonts w:ascii="仿宋_GB2312" w:eastAsia="仿宋_GB2312"/>
          <w:b/>
          <w:bCs/>
          <w:sz w:val="36"/>
          <w:szCs w:val="36"/>
          <w:highlight w:val="none"/>
          <w:u w:val="single"/>
        </w:rPr>
      </w:pPr>
    </w:p>
    <w:p w14:paraId="129AD614">
      <w:pPr>
        <w:spacing w:line="360" w:lineRule="auto"/>
        <w:ind w:firstLine="1803" w:firstLineChars="499"/>
        <w:rPr>
          <w:rFonts w:ascii="仿宋_GB2312" w:eastAsia="仿宋_GB2312"/>
          <w:b/>
          <w:bCs/>
          <w:strike/>
          <w:sz w:val="36"/>
          <w:szCs w:val="36"/>
          <w:highlight w:val="none"/>
        </w:rPr>
      </w:pPr>
      <w:r>
        <w:rPr>
          <w:rFonts w:hint="eastAsia" w:ascii="仿宋_GB2312" w:eastAsia="仿宋_GB2312"/>
          <w:b/>
          <w:bCs/>
          <w:sz w:val="36"/>
          <w:szCs w:val="36"/>
          <w:highlight w:val="none"/>
          <w:u w:val="single"/>
        </w:rPr>
        <w:t xml:space="preserve">                      </w:t>
      </w:r>
      <w:bookmarkStart w:id="20" w:name="_Toc256695437"/>
      <w:bookmarkStart w:id="21" w:name="_Toc256691561"/>
      <w:r>
        <w:rPr>
          <w:rFonts w:hint="eastAsia" w:ascii="仿宋_GB2312" w:eastAsia="仿宋_GB2312"/>
          <w:b/>
          <w:bCs/>
          <w:sz w:val="36"/>
          <w:szCs w:val="36"/>
          <w:highlight w:val="none"/>
        </w:rPr>
        <w:t>(项目名称)</w:t>
      </w:r>
      <w:bookmarkEnd w:id="20"/>
      <w:bookmarkEnd w:id="21"/>
    </w:p>
    <w:p w14:paraId="1CFB7BF3">
      <w:pPr>
        <w:spacing w:line="360" w:lineRule="auto"/>
        <w:jc w:val="center"/>
        <w:rPr>
          <w:rFonts w:ascii="仿宋_GB2312" w:hAnsi="Cambria" w:eastAsia="仿宋_GB2312"/>
          <w:spacing w:val="-20"/>
          <w:sz w:val="52"/>
          <w:szCs w:val="52"/>
          <w:highlight w:val="none"/>
        </w:rPr>
      </w:pPr>
      <w:r>
        <w:rPr>
          <w:rFonts w:hint="eastAsia" w:ascii="仿宋_GB2312" w:hAnsi="Cambria" w:eastAsia="仿宋_GB2312"/>
          <w:spacing w:val="-20"/>
          <w:sz w:val="52"/>
          <w:szCs w:val="52"/>
          <w:highlight w:val="none"/>
        </w:rPr>
        <w:t xml:space="preserve">  </w:t>
      </w:r>
    </w:p>
    <w:p w14:paraId="2FC0E671">
      <w:pPr>
        <w:jc w:val="center"/>
        <w:rPr>
          <w:rFonts w:ascii="仿宋_GB2312" w:hAnsi="Cambria" w:eastAsia="仿宋_GB2312"/>
          <w:b/>
          <w:spacing w:val="-20"/>
          <w:sz w:val="52"/>
          <w:szCs w:val="52"/>
          <w:highlight w:val="none"/>
        </w:rPr>
      </w:pPr>
      <w:bookmarkStart w:id="22" w:name="_Toc256695438"/>
      <w:bookmarkStart w:id="23" w:name="_Toc256691562"/>
      <w:r>
        <w:rPr>
          <w:rFonts w:hint="eastAsia" w:ascii="仿宋_GB2312" w:hAnsi="Cambria" w:eastAsia="仿宋_GB2312"/>
          <w:b/>
          <w:spacing w:val="-20"/>
          <w:sz w:val="52"/>
          <w:szCs w:val="52"/>
          <w:highlight w:val="none"/>
        </w:rPr>
        <w:t>谈 判 响 应 文 件</w:t>
      </w:r>
      <w:bookmarkEnd w:id="22"/>
      <w:bookmarkEnd w:id="23"/>
    </w:p>
    <w:p w14:paraId="70588AEE">
      <w:pPr>
        <w:jc w:val="center"/>
        <w:rPr>
          <w:rFonts w:ascii="仿宋_GB2312" w:eastAsia="仿宋_GB2312"/>
          <w:sz w:val="32"/>
          <w:szCs w:val="32"/>
          <w:highlight w:val="none"/>
        </w:rPr>
      </w:pPr>
    </w:p>
    <w:p w14:paraId="59A34BFF">
      <w:pPr>
        <w:jc w:val="center"/>
        <w:rPr>
          <w:rFonts w:ascii="仿宋_GB2312" w:hAnsi="宋体" w:eastAsia="仿宋_GB2312"/>
          <w:sz w:val="32"/>
          <w:szCs w:val="32"/>
          <w:highlight w:val="none"/>
        </w:rPr>
      </w:pPr>
      <w:bookmarkStart w:id="24" w:name="_Toc256691563"/>
      <w:bookmarkStart w:id="25" w:name="_Toc256695439"/>
      <w:r>
        <w:rPr>
          <w:rFonts w:hint="eastAsia" w:ascii="仿宋_GB2312" w:hAnsi="宋体" w:eastAsia="仿宋_GB2312"/>
          <w:sz w:val="32"/>
          <w:szCs w:val="32"/>
          <w:highlight w:val="none"/>
        </w:rPr>
        <w:t>项目编号：(         )</w:t>
      </w:r>
      <w:bookmarkEnd w:id="24"/>
      <w:bookmarkEnd w:id="25"/>
    </w:p>
    <w:p w14:paraId="45ECDF3E">
      <w:pPr>
        <w:jc w:val="center"/>
        <w:rPr>
          <w:rFonts w:ascii="仿宋_GB2312" w:eastAsia="仿宋_GB2312"/>
          <w:sz w:val="52"/>
          <w:szCs w:val="52"/>
          <w:highlight w:val="none"/>
        </w:rPr>
      </w:pPr>
    </w:p>
    <w:p w14:paraId="06BA3E88">
      <w:pPr>
        <w:jc w:val="center"/>
        <w:rPr>
          <w:rFonts w:ascii="仿宋_GB2312" w:eastAsia="仿宋_GB2312"/>
          <w:sz w:val="52"/>
          <w:szCs w:val="52"/>
          <w:highlight w:val="none"/>
        </w:rPr>
      </w:pPr>
    </w:p>
    <w:p w14:paraId="142DB377">
      <w:pPr>
        <w:rPr>
          <w:rFonts w:ascii="仿宋_GB2312" w:eastAsia="仿宋_GB2312"/>
          <w:highlight w:val="none"/>
          <w:u w:val="single"/>
        </w:rPr>
      </w:pPr>
    </w:p>
    <w:p w14:paraId="6119BA64">
      <w:pPr>
        <w:rPr>
          <w:rFonts w:ascii="仿宋_GB2312" w:eastAsia="仿宋_GB2312"/>
          <w:highlight w:val="none"/>
          <w:u w:val="single"/>
        </w:rPr>
      </w:pPr>
    </w:p>
    <w:p w14:paraId="372DC7A1">
      <w:pPr>
        <w:rPr>
          <w:rFonts w:ascii="仿宋_GB2312" w:eastAsia="仿宋_GB2312"/>
          <w:highlight w:val="none"/>
          <w:u w:val="single"/>
        </w:rPr>
      </w:pPr>
    </w:p>
    <w:p w14:paraId="109884C3">
      <w:pPr>
        <w:rPr>
          <w:rFonts w:ascii="仿宋_GB2312" w:eastAsia="仿宋_GB2312"/>
          <w:highlight w:val="none"/>
          <w:u w:val="single"/>
        </w:rPr>
      </w:pPr>
    </w:p>
    <w:p w14:paraId="2DB0F289">
      <w:pPr>
        <w:rPr>
          <w:rFonts w:ascii="仿宋_GB2312" w:eastAsia="仿宋_GB2312"/>
          <w:highlight w:val="none"/>
          <w:u w:val="single"/>
        </w:rPr>
      </w:pPr>
    </w:p>
    <w:p w14:paraId="2530DF6F">
      <w:pPr>
        <w:rPr>
          <w:rFonts w:ascii="仿宋_GB2312" w:eastAsia="仿宋_GB2312"/>
          <w:highlight w:val="none"/>
          <w:u w:val="single"/>
        </w:rPr>
      </w:pPr>
    </w:p>
    <w:p w14:paraId="36DAAF06">
      <w:pPr>
        <w:rPr>
          <w:rFonts w:ascii="仿宋_GB2312" w:eastAsia="仿宋_GB2312"/>
          <w:highlight w:val="none"/>
          <w:u w:val="single"/>
        </w:rPr>
      </w:pPr>
    </w:p>
    <w:p w14:paraId="37D0F968">
      <w:pPr>
        <w:rPr>
          <w:rFonts w:ascii="仿宋_GB2312" w:eastAsia="仿宋_GB2312"/>
          <w:highlight w:val="none"/>
          <w:u w:val="single"/>
        </w:rPr>
      </w:pPr>
    </w:p>
    <w:p w14:paraId="4BC038FB">
      <w:pPr>
        <w:rPr>
          <w:rFonts w:ascii="仿宋_GB2312" w:eastAsia="仿宋_GB2312"/>
          <w:highlight w:val="none"/>
          <w:u w:val="single"/>
        </w:rPr>
      </w:pPr>
    </w:p>
    <w:p w14:paraId="130B34E8">
      <w:pPr>
        <w:rPr>
          <w:rFonts w:ascii="仿宋_GB2312" w:eastAsia="仿宋_GB2312"/>
          <w:highlight w:val="none"/>
          <w:u w:val="single"/>
        </w:rPr>
      </w:pPr>
    </w:p>
    <w:p w14:paraId="1F76D46F">
      <w:pPr>
        <w:rPr>
          <w:rFonts w:ascii="仿宋_GB2312" w:eastAsia="仿宋_GB2312"/>
          <w:highlight w:val="none"/>
          <w:u w:val="single"/>
        </w:rPr>
      </w:pPr>
    </w:p>
    <w:p w14:paraId="23DFE442">
      <w:pPr>
        <w:rPr>
          <w:rFonts w:ascii="仿宋_GB2312" w:eastAsia="仿宋_GB2312"/>
          <w:highlight w:val="none"/>
          <w:u w:val="single"/>
        </w:rPr>
      </w:pPr>
    </w:p>
    <w:p w14:paraId="733D7F05">
      <w:pPr>
        <w:rPr>
          <w:rFonts w:ascii="仿宋_GB2312" w:eastAsia="仿宋_GB2312"/>
          <w:highlight w:val="none"/>
          <w:u w:val="single"/>
        </w:rPr>
      </w:pPr>
    </w:p>
    <w:p w14:paraId="71040BB9">
      <w:pPr>
        <w:rPr>
          <w:rFonts w:ascii="仿宋_GB2312" w:eastAsia="仿宋_GB2312"/>
          <w:highlight w:val="none"/>
          <w:u w:val="single"/>
        </w:rPr>
      </w:pPr>
    </w:p>
    <w:p w14:paraId="7C24103B">
      <w:pPr>
        <w:jc w:val="center"/>
        <w:rPr>
          <w:rFonts w:ascii="仿宋_GB2312" w:eastAsia="仿宋_GB2312"/>
          <w:b/>
          <w:sz w:val="32"/>
          <w:szCs w:val="32"/>
          <w:highlight w:val="none"/>
          <w:u w:val="single"/>
        </w:rPr>
      </w:pPr>
      <w:bookmarkStart w:id="26" w:name="_Toc256691564"/>
      <w:bookmarkStart w:id="27" w:name="_Toc256695440"/>
      <w:r>
        <w:rPr>
          <w:rFonts w:hint="eastAsia" w:ascii="仿宋_GB2312" w:eastAsia="仿宋_GB2312"/>
          <w:b/>
          <w:sz w:val="32"/>
          <w:szCs w:val="32"/>
          <w:highlight w:val="none"/>
        </w:rPr>
        <w:t xml:space="preserve">    谈判响应人：</w:t>
      </w:r>
      <w:bookmarkEnd w:id="26"/>
      <w:bookmarkEnd w:id="27"/>
      <w:r>
        <w:rPr>
          <w:rFonts w:hint="eastAsia" w:ascii="仿宋_GB2312" w:eastAsia="仿宋_GB2312"/>
          <w:b/>
          <w:sz w:val="32"/>
          <w:szCs w:val="32"/>
          <w:highlight w:val="none"/>
          <w:u w:val="single"/>
        </w:rPr>
        <w:t xml:space="preserve">             （盖单位章）</w:t>
      </w:r>
    </w:p>
    <w:p w14:paraId="6B1A9A62">
      <w:pPr>
        <w:jc w:val="center"/>
        <w:rPr>
          <w:rFonts w:ascii="仿宋_GB2312" w:eastAsia="仿宋_GB2312"/>
          <w:b/>
          <w:sz w:val="32"/>
          <w:szCs w:val="32"/>
          <w:highlight w:val="none"/>
          <w:u w:val="single"/>
        </w:rPr>
      </w:pPr>
      <w:r>
        <w:rPr>
          <w:rFonts w:hint="eastAsia" w:ascii="仿宋_GB2312" w:eastAsia="仿宋_GB2312"/>
          <w:b/>
          <w:sz w:val="32"/>
          <w:szCs w:val="32"/>
          <w:highlight w:val="none"/>
        </w:rPr>
        <w:t xml:space="preserve"> 法定代表人</w:t>
      </w:r>
      <w:r>
        <w:rPr>
          <w:rFonts w:hint="eastAsia" w:ascii="仿宋_GB2312" w:eastAsia="仿宋_GB2312"/>
          <w:b/>
          <w:sz w:val="32"/>
          <w:szCs w:val="32"/>
          <w:highlight w:val="none"/>
          <w:u w:val="single"/>
        </w:rPr>
        <w:t>：              （签字）</w:t>
      </w:r>
    </w:p>
    <w:p w14:paraId="5B64A5F4">
      <w:pPr>
        <w:ind w:firstLine="1606" w:firstLineChars="500"/>
        <w:rPr>
          <w:rFonts w:ascii="宋体" w:hAnsi="宋体" w:cs="宋体"/>
          <w:sz w:val="32"/>
          <w:szCs w:val="32"/>
          <w:highlight w:val="none"/>
        </w:rPr>
      </w:pPr>
      <w:bookmarkStart w:id="28" w:name="_Toc256695441"/>
      <w:bookmarkStart w:id="29" w:name="_Toc256691565"/>
      <w:r>
        <w:rPr>
          <w:rFonts w:hint="eastAsia" w:ascii="仿宋_GB2312" w:eastAsia="仿宋_GB2312"/>
          <w:b/>
          <w:sz w:val="32"/>
          <w:szCs w:val="32"/>
          <w:highlight w:val="none"/>
        </w:rPr>
        <w:t>日期：</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bookmarkEnd w:id="17"/>
      <w:bookmarkEnd w:id="28"/>
      <w:bookmarkEnd w:id="29"/>
    </w:p>
    <w:p w14:paraId="1C3B993F">
      <w:pPr>
        <w:rPr>
          <w:rStyle w:val="18"/>
          <w:rFonts w:ascii="宋体" w:hAnsi="宋体"/>
          <w:b w:val="0"/>
          <w:highlight w:val="none"/>
        </w:rPr>
      </w:pPr>
      <w:r>
        <w:rPr>
          <w:rStyle w:val="18"/>
          <w:rFonts w:hint="eastAsia" w:ascii="宋体" w:hAnsi="宋体"/>
          <w:b w:val="0"/>
          <w:highlight w:val="none"/>
        </w:rPr>
        <w:br w:type="page"/>
      </w:r>
    </w:p>
    <w:p w14:paraId="5B68927C">
      <w:pPr>
        <w:jc w:val="center"/>
        <w:rPr>
          <w:rStyle w:val="18"/>
          <w:rFonts w:ascii="宋体" w:hAnsi="宋体"/>
          <w:b w:val="0"/>
          <w:highlight w:val="none"/>
        </w:rPr>
      </w:pPr>
      <w:r>
        <w:rPr>
          <w:rStyle w:val="18"/>
          <w:rFonts w:hint="eastAsia" w:ascii="宋体" w:hAnsi="宋体"/>
          <w:b w:val="0"/>
          <w:highlight w:val="none"/>
        </w:rPr>
        <w:t>一、响应</w:t>
      </w:r>
      <w:r>
        <w:rPr>
          <w:rStyle w:val="18"/>
          <w:rFonts w:ascii="宋体" w:hAnsi="宋体"/>
          <w:b w:val="0"/>
          <w:highlight w:val="none"/>
        </w:rPr>
        <w:t>函</w:t>
      </w:r>
    </w:p>
    <w:bookmarkEnd w:id="18"/>
    <w:bookmarkEnd w:id="19"/>
    <w:p w14:paraId="55F9CEB0">
      <w:pPr>
        <w:spacing w:line="560" w:lineRule="exact"/>
        <w:rPr>
          <w:rFonts w:ascii="宋体" w:hAnsi="宋体" w:cs="宋体"/>
          <w:sz w:val="32"/>
          <w:szCs w:val="32"/>
          <w:highlight w:val="none"/>
        </w:rPr>
      </w:pPr>
      <w:r>
        <w:rPr>
          <w:rFonts w:hint="eastAsia" w:ascii="宋体" w:hAnsi="宋体" w:cs="宋体"/>
          <w:sz w:val="32"/>
          <w:szCs w:val="32"/>
          <w:highlight w:val="none"/>
          <w:lang w:eastAsia="zh-CN"/>
        </w:rPr>
        <w:t>江苏煤炭地质勘探三队</w:t>
      </w:r>
      <w:r>
        <w:rPr>
          <w:rFonts w:hint="eastAsia" w:ascii="宋体" w:hAnsi="宋体" w:cs="宋体"/>
          <w:sz w:val="32"/>
          <w:szCs w:val="32"/>
          <w:highlight w:val="none"/>
        </w:rPr>
        <w:t>：</w:t>
      </w:r>
    </w:p>
    <w:p w14:paraId="0EF7A477">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（响应人全称）授权（全权代表姓名、职务、职称）为全权代表，参加贵方组织的（采购编号、项目名称）的有关活动，为此：</w:t>
      </w:r>
    </w:p>
    <w:p w14:paraId="722092AA">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1.提供响应人须知规定的响应文件。</w:t>
      </w:r>
    </w:p>
    <w:p w14:paraId="5DDDE57F">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2.提供按采购文件要求</w:t>
      </w:r>
      <w:r>
        <w:rPr>
          <w:rFonts w:hint="eastAsia" w:ascii="宋体" w:hAnsi="宋体" w:cs="宋体"/>
          <w:sz w:val="32"/>
          <w:szCs w:val="32"/>
          <w:highlight w:val="none"/>
          <w:lang w:val="en-US" w:eastAsia="zh-CN"/>
        </w:rPr>
        <w:t>的</w:t>
      </w:r>
      <w:r>
        <w:rPr>
          <w:rFonts w:hint="eastAsia" w:ascii="宋体" w:hAnsi="宋体" w:cs="宋体"/>
          <w:sz w:val="32"/>
          <w:szCs w:val="32"/>
          <w:highlight w:val="none"/>
        </w:rPr>
        <w:t>报价。（详见 附件）。</w:t>
      </w:r>
    </w:p>
    <w:p w14:paraId="00BBF82A">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3.我方将按采购文件的规定履行全部责任和义务。</w:t>
      </w:r>
    </w:p>
    <w:p w14:paraId="53B9DE45">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4.我方已详细审查全部采购文件，我们完全理解并同意放弃对采购文件提出质疑及/或争议的权利。</w:t>
      </w:r>
    </w:p>
    <w:p w14:paraId="69DBE975">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5.我方递交响应文件的有效期为自递交响应文件截止日起 90 个日历日。</w:t>
      </w:r>
    </w:p>
    <w:p w14:paraId="5389AD05">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6.我方愿意向贵方提供任何与该项响应文件有关的数据、情况和技术资料，完全理解贵方不一定接受最低价的响应文件或收到的任何响应文件。</w:t>
      </w:r>
    </w:p>
    <w:p w14:paraId="07B52756">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7.我方授权贵方查询或调查我们递交的与本响应文件有关的声明、文件和资料，并同意在贵方的要求下提供相关文件或证书的原件及其他相关书面材料，以及通过我们的开户银行和客户澄清响应文件中有关财务和技术方面的问题。</w:t>
      </w:r>
    </w:p>
    <w:p w14:paraId="66F0B177">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8.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34EC3F79">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9.我方在本次响应活动中绝无资质挂靠、串标、围标情形，若经贵方查出，立即取消我方响应资格并承担相应的法律责任。</w:t>
      </w:r>
    </w:p>
    <w:p w14:paraId="259FBAE0">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10.我方未被地市级及以上行政主管部门做出取消响应资格的处罚且该处罚在有效期内的。</w:t>
      </w:r>
    </w:p>
    <w:p w14:paraId="7970FC8C">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11.我方在以往的采购活动中，无重大违法、违规的不良记录；</w:t>
      </w:r>
    </w:p>
    <w:p w14:paraId="03DF9C65">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12.与本响应文件有关的一切往来通讯请寄：</w:t>
      </w:r>
    </w:p>
    <w:p w14:paraId="7F09CA26">
      <w:pPr>
        <w:spacing w:line="560" w:lineRule="exact"/>
        <w:ind w:firstLine="640" w:firstLineChars="200"/>
        <w:rPr>
          <w:rFonts w:ascii="宋体" w:hAnsi="宋体" w:cs="宋体"/>
          <w:sz w:val="32"/>
          <w:szCs w:val="32"/>
          <w:highlight w:val="none"/>
        </w:rPr>
      </w:pPr>
    </w:p>
    <w:p w14:paraId="77D5F0A0">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 xml:space="preserve">地    址：               传    真：  </w:t>
      </w:r>
    </w:p>
    <w:p w14:paraId="207540E6">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电    话：               电子函件：</w:t>
      </w:r>
    </w:p>
    <w:p w14:paraId="3F33B554">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响应人名称（盖章）：</w:t>
      </w:r>
    </w:p>
    <w:p w14:paraId="13D58D35">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响应人授权代表（签字）：</w:t>
      </w:r>
    </w:p>
    <w:p w14:paraId="350F3857">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日期：</w:t>
      </w:r>
    </w:p>
    <w:p w14:paraId="212F7231">
      <w:pPr>
        <w:spacing w:line="560" w:lineRule="exact"/>
        <w:ind w:firstLine="640" w:firstLineChars="200"/>
        <w:rPr>
          <w:rFonts w:ascii="宋体" w:hAnsi="宋体" w:cs="宋体"/>
          <w:sz w:val="32"/>
          <w:szCs w:val="32"/>
          <w:highlight w:val="none"/>
        </w:rPr>
      </w:pPr>
    </w:p>
    <w:p w14:paraId="18760D80">
      <w:pPr>
        <w:pStyle w:val="9"/>
        <w:rPr>
          <w:color w:val="auto"/>
          <w:highlight w:val="none"/>
        </w:rPr>
      </w:pPr>
    </w:p>
    <w:p w14:paraId="4F641941">
      <w:pPr>
        <w:pStyle w:val="2"/>
        <w:spacing w:line="530" w:lineRule="exact"/>
        <w:rPr>
          <w:sz w:val="32"/>
          <w:szCs w:val="32"/>
          <w:highlight w:val="none"/>
        </w:rPr>
      </w:pPr>
    </w:p>
    <w:p w14:paraId="5E4E89ED">
      <w:pPr>
        <w:pStyle w:val="9"/>
        <w:rPr>
          <w:color w:val="auto"/>
          <w:highlight w:val="none"/>
        </w:rPr>
      </w:pPr>
    </w:p>
    <w:p w14:paraId="74629168">
      <w:pPr>
        <w:pStyle w:val="9"/>
        <w:rPr>
          <w:color w:val="auto"/>
          <w:highlight w:val="none"/>
        </w:rPr>
      </w:pPr>
    </w:p>
    <w:p w14:paraId="7365A18E">
      <w:pPr>
        <w:pStyle w:val="9"/>
        <w:rPr>
          <w:color w:val="auto"/>
          <w:highlight w:val="none"/>
        </w:rPr>
      </w:pPr>
    </w:p>
    <w:p w14:paraId="2E8B08F6">
      <w:pPr>
        <w:pStyle w:val="9"/>
        <w:rPr>
          <w:color w:val="auto"/>
          <w:highlight w:val="none"/>
        </w:rPr>
      </w:pPr>
    </w:p>
    <w:p w14:paraId="45C74CA4">
      <w:pPr>
        <w:pStyle w:val="9"/>
        <w:rPr>
          <w:color w:val="auto"/>
          <w:highlight w:val="none"/>
        </w:rPr>
      </w:pPr>
    </w:p>
    <w:p w14:paraId="0AD42B0D">
      <w:pPr>
        <w:pStyle w:val="9"/>
        <w:rPr>
          <w:color w:val="auto"/>
          <w:highlight w:val="none"/>
        </w:rPr>
      </w:pPr>
    </w:p>
    <w:p w14:paraId="4BA77C4E">
      <w:pPr>
        <w:pStyle w:val="9"/>
        <w:rPr>
          <w:color w:val="auto"/>
          <w:highlight w:val="none"/>
        </w:rPr>
      </w:pPr>
    </w:p>
    <w:p w14:paraId="1F489EC5">
      <w:pPr>
        <w:pStyle w:val="9"/>
        <w:rPr>
          <w:color w:val="auto"/>
          <w:highlight w:val="none"/>
        </w:rPr>
      </w:pPr>
    </w:p>
    <w:p w14:paraId="452AFC10">
      <w:pPr>
        <w:pStyle w:val="9"/>
        <w:rPr>
          <w:color w:val="auto"/>
          <w:highlight w:val="none"/>
        </w:rPr>
      </w:pPr>
    </w:p>
    <w:p w14:paraId="3A9A25EF">
      <w:pPr>
        <w:pStyle w:val="9"/>
        <w:rPr>
          <w:color w:val="auto"/>
          <w:highlight w:val="none"/>
        </w:rPr>
      </w:pPr>
    </w:p>
    <w:p w14:paraId="21E51043">
      <w:pPr>
        <w:rPr>
          <w:highlight w:val="none"/>
        </w:rPr>
      </w:pPr>
    </w:p>
    <w:p w14:paraId="6496AF69">
      <w:pPr>
        <w:jc w:val="center"/>
        <w:rPr>
          <w:rStyle w:val="18"/>
          <w:rFonts w:hint="eastAsia" w:ascii="宋体" w:hAnsi="宋体" w:cstheme="minorBidi"/>
          <w:b w:val="0"/>
          <w:highlight w:val="none"/>
        </w:rPr>
      </w:pPr>
    </w:p>
    <w:p w14:paraId="20F16807">
      <w:pPr>
        <w:jc w:val="center"/>
        <w:rPr>
          <w:rStyle w:val="18"/>
          <w:rFonts w:hint="eastAsia" w:ascii="宋体" w:hAnsi="宋体" w:cstheme="minorBidi"/>
          <w:b w:val="0"/>
          <w:highlight w:val="none"/>
        </w:rPr>
      </w:pPr>
    </w:p>
    <w:p w14:paraId="34095465">
      <w:pPr>
        <w:spacing w:line="360" w:lineRule="auto"/>
        <w:jc w:val="center"/>
        <w:rPr>
          <w:rFonts w:hint="eastAsia" w:ascii="仿宋_GB2312" w:hAnsi="仿宋_GB2312" w:eastAsia="仿宋_GB2312" w:cs="仿宋_GB2312"/>
          <w:bCs/>
          <w:sz w:val="28"/>
          <w:szCs w:val="28"/>
          <w:highlight w:val="none"/>
        </w:rPr>
      </w:pPr>
      <w:bookmarkStart w:id="30" w:name="_Toc1604"/>
      <w:r>
        <w:rPr>
          <w:rStyle w:val="18"/>
          <w:rFonts w:hint="eastAsia" w:ascii="宋体" w:hAnsi="宋体" w:cs="Times New Roman"/>
          <w:b w:val="0"/>
          <w:highlight w:val="none"/>
          <w:lang w:val="en-US" w:eastAsia="zh-CN"/>
        </w:rPr>
        <w:t>二、</w:t>
      </w:r>
      <w:r>
        <w:rPr>
          <w:rStyle w:val="18"/>
          <w:rFonts w:hint="eastAsia" w:ascii="宋体" w:hAnsi="宋体"/>
          <w:b w:val="0"/>
          <w:highlight w:val="none"/>
          <w:lang w:val="en-US"/>
        </w:rPr>
        <w:t>报价表</w:t>
      </w:r>
      <w:r>
        <w:rPr>
          <w:rFonts w:hint="eastAsia" w:ascii="仿宋_GB2312" w:hAnsi="仿宋_GB2312" w:eastAsia="仿宋_GB2312" w:cs="仿宋_GB2312"/>
          <w:bCs/>
          <w:sz w:val="28"/>
          <w:szCs w:val="28"/>
          <w:highlight w:val="none"/>
        </w:rPr>
        <w:t xml:space="preserve"> </w:t>
      </w:r>
    </w:p>
    <w:tbl>
      <w:tblPr>
        <w:tblStyle w:val="12"/>
        <w:tblpPr w:leftFromText="180" w:rightFromText="180" w:vertAnchor="text" w:horzAnchor="page" w:tblpXSpec="center" w:tblpY="285"/>
        <w:tblOverlap w:val="never"/>
        <w:tblW w:w="8521" w:type="dxa"/>
        <w:jc w:val="center"/>
        <w:tblLayout w:type="fixed"/>
        <w:tblCellMar>
          <w:top w:w="0" w:type="dxa"/>
          <w:left w:w="108" w:type="dxa"/>
          <w:bottom w:w="0" w:type="dxa"/>
          <w:right w:w="108" w:type="dxa"/>
        </w:tblCellMar>
      </w:tblPr>
      <w:tblGrid>
        <w:gridCol w:w="607"/>
        <w:gridCol w:w="759"/>
        <w:gridCol w:w="981"/>
        <w:gridCol w:w="791"/>
        <w:gridCol w:w="1109"/>
        <w:gridCol w:w="1429"/>
        <w:gridCol w:w="1428"/>
        <w:gridCol w:w="1416"/>
        <w:gridCol w:w="1"/>
      </w:tblGrid>
      <w:tr w14:paraId="034D520B">
        <w:tblPrEx>
          <w:tblCellMar>
            <w:top w:w="0" w:type="dxa"/>
            <w:left w:w="108" w:type="dxa"/>
            <w:bottom w:w="0" w:type="dxa"/>
            <w:right w:w="108" w:type="dxa"/>
          </w:tblCellMar>
        </w:tblPrEx>
        <w:trPr>
          <w:trHeight w:val="35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82E3">
            <w:pPr>
              <w:widowControl/>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序号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4CF4">
            <w:pPr>
              <w:widowControl/>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车型</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E186">
            <w:pPr>
              <w:widowControl/>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载重标准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1D2B">
            <w:pPr>
              <w:widowControl/>
              <w:jc w:val="center"/>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预计</w:t>
            </w:r>
            <w:r>
              <w:rPr>
                <w:rFonts w:hint="eastAsia" w:ascii="仿宋_GB2312" w:hAnsi="仿宋_GB2312" w:eastAsia="仿宋_GB2312" w:cs="仿宋_GB2312"/>
                <w:color w:val="000000"/>
                <w:kern w:val="0"/>
                <w:sz w:val="28"/>
                <w:szCs w:val="28"/>
                <w:highlight w:val="none"/>
              </w:rPr>
              <w:t>数量</w:t>
            </w:r>
          </w:p>
          <w:p w14:paraId="100FEE6B">
            <w:pPr>
              <w:widowControl/>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（台班）</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3255">
            <w:pPr>
              <w:widowControl/>
              <w:jc w:val="center"/>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税率（%）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41D4">
            <w:pPr>
              <w:widowControl/>
              <w:jc w:val="center"/>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报价</w:t>
            </w:r>
          </w:p>
          <w:p w14:paraId="70150B21">
            <w:pPr>
              <w:widowControl/>
              <w:jc w:val="center"/>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rPr>
              <w:t>（元/台班）</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8BAF">
            <w:pPr>
              <w:widowControl/>
              <w:jc w:val="center"/>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总价（元）</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7528A">
            <w:pPr>
              <w:widowControl/>
              <w:jc w:val="center"/>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备注</w:t>
            </w:r>
          </w:p>
        </w:tc>
      </w:tr>
      <w:tr w14:paraId="1A350231">
        <w:tblPrEx>
          <w:tblCellMar>
            <w:top w:w="0" w:type="dxa"/>
            <w:left w:w="108" w:type="dxa"/>
            <w:bottom w:w="0" w:type="dxa"/>
            <w:right w:w="108" w:type="dxa"/>
          </w:tblCellMar>
        </w:tblPrEx>
        <w:trPr>
          <w:trHeight w:val="599"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2700">
            <w:pPr>
              <w:widowControl/>
              <w:jc w:val="center"/>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90F8">
            <w:pPr>
              <w:jc w:val="left"/>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rPr>
              <w:t>吊车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0C4B">
            <w:pPr>
              <w:jc w:val="left"/>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rPr>
              <w:t>25T吊车</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ADC2">
            <w:pPr>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80B0">
            <w:pPr>
              <w:jc w:val="left"/>
              <w:rPr>
                <w:rFonts w:hint="eastAsia" w:ascii="仿宋_GB2312" w:hAnsi="仿宋_GB2312" w:eastAsia="仿宋_GB2312" w:cs="仿宋_GB2312"/>
                <w:color w:val="000000"/>
                <w:sz w:val="28"/>
                <w:szCs w:val="28"/>
                <w:highlight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3D07">
            <w:pPr>
              <w:jc w:val="left"/>
              <w:rPr>
                <w:rFonts w:hint="eastAsia" w:ascii="仿宋_GB2312" w:hAnsi="仿宋_GB2312" w:eastAsia="仿宋_GB2312" w:cs="仿宋_GB2312"/>
                <w:color w:val="000000"/>
                <w:sz w:val="28"/>
                <w:szCs w:val="28"/>
                <w:highlight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A26F">
            <w:pPr>
              <w:jc w:val="left"/>
              <w:rPr>
                <w:rFonts w:hint="eastAsia" w:ascii="仿宋_GB2312" w:hAnsi="仿宋_GB2312" w:eastAsia="仿宋_GB2312" w:cs="仿宋_GB2312"/>
                <w:color w:val="000000"/>
                <w:sz w:val="28"/>
                <w:szCs w:val="28"/>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2E5E8">
            <w:pPr>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据实结算</w:t>
            </w:r>
          </w:p>
        </w:tc>
      </w:tr>
      <w:tr w14:paraId="22A70736">
        <w:tblPrEx>
          <w:tblCellMar>
            <w:top w:w="0" w:type="dxa"/>
            <w:left w:w="108" w:type="dxa"/>
            <w:bottom w:w="0" w:type="dxa"/>
            <w:right w:w="108" w:type="dxa"/>
          </w:tblCellMar>
        </w:tblPrEx>
        <w:trPr>
          <w:trHeight w:val="35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1DEC">
            <w:pPr>
              <w:widowControl/>
              <w:jc w:val="center"/>
              <w:textAlignment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kern w:val="0"/>
                <w:sz w:val="28"/>
                <w:szCs w:val="28"/>
                <w:highlight w:val="none"/>
                <w:lang w:val="en-US" w:eastAsia="zh-CN"/>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836A">
            <w:pPr>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吊车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41DE">
            <w:pPr>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50T吊车</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4D99">
            <w:pPr>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8C51">
            <w:pPr>
              <w:jc w:val="left"/>
              <w:rPr>
                <w:rFonts w:hint="eastAsia" w:ascii="仿宋_GB2312" w:hAnsi="仿宋_GB2312" w:eastAsia="仿宋_GB2312" w:cs="仿宋_GB2312"/>
                <w:color w:val="000000"/>
                <w:sz w:val="28"/>
                <w:szCs w:val="28"/>
                <w:highlight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6B61">
            <w:pPr>
              <w:jc w:val="left"/>
              <w:rPr>
                <w:rFonts w:hint="eastAsia" w:ascii="仿宋_GB2312" w:hAnsi="仿宋_GB2312" w:eastAsia="仿宋_GB2312" w:cs="仿宋_GB2312"/>
                <w:color w:val="000000"/>
                <w:sz w:val="28"/>
                <w:szCs w:val="28"/>
                <w:highlight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77E6">
            <w:pPr>
              <w:jc w:val="left"/>
              <w:rPr>
                <w:rFonts w:hint="eastAsia" w:ascii="仿宋_GB2312" w:hAnsi="仿宋_GB2312" w:eastAsia="仿宋_GB2312" w:cs="仿宋_GB2312"/>
                <w:color w:val="000000"/>
                <w:sz w:val="28"/>
                <w:szCs w:val="28"/>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569E5">
            <w:pPr>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据实结算</w:t>
            </w:r>
          </w:p>
        </w:tc>
      </w:tr>
      <w:tr w14:paraId="5EEF8E38">
        <w:tblPrEx>
          <w:tblCellMar>
            <w:top w:w="0" w:type="dxa"/>
            <w:left w:w="108" w:type="dxa"/>
            <w:bottom w:w="0" w:type="dxa"/>
            <w:right w:w="108" w:type="dxa"/>
          </w:tblCellMar>
        </w:tblPrEx>
        <w:trPr>
          <w:trHeight w:val="35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E024">
            <w:pPr>
              <w:widowControl/>
              <w:jc w:val="center"/>
              <w:textAlignment w:val="center"/>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rPr>
              <w:t>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CAEF">
            <w:pPr>
              <w:jc w:val="left"/>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rPr>
              <w:t>卡车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0E00">
            <w:pPr>
              <w:jc w:val="left"/>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rPr>
              <w:t>9.6米/13.5 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AE8B">
            <w:pPr>
              <w:jc w:val="center"/>
              <w:rPr>
                <w:rFonts w:hint="default"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F8E3">
            <w:pPr>
              <w:jc w:val="left"/>
              <w:rPr>
                <w:rFonts w:hint="eastAsia" w:ascii="仿宋_GB2312" w:hAnsi="仿宋_GB2312" w:eastAsia="仿宋_GB2312" w:cs="仿宋_GB2312"/>
                <w:color w:val="000000"/>
                <w:kern w:val="2"/>
                <w:sz w:val="28"/>
                <w:szCs w:val="28"/>
                <w:highlight w:val="none"/>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4FD2">
            <w:pPr>
              <w:jc w:val="left"/>
              <w:rPr>
                <w:rFonts w:hint="eastAsia" w:ascii="仿宋_GB2312" w:hAnsi="仿宋_GB2312" w:eastAsia="仿宋_GB2312" w:cs="仿宋_GB2312"/>
                <w:color w:val="000000"/>
                <w:kern w:val="2"/>
                <w:sz w:val="28"/>
                <w:szCs w:val="28"/>
                <w:highlight w:val="none"/>
                <w:lang w:val="en-US" w:eastAsia="zh-CN" w:bidi="ar-SA"/>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5441">
            <w:pPr>
              <w:jc w:val="left"/>
              <w:rPr>
                <w:rFonts w:hint="eastAsia" w:ascii="仿宋_GB2312" w:hAnsi="仿宋_GB2312" w:eastAsia="仿宋_GB2312" w:cs="仿宋_GB2312"/>
                <w:color w:val="000000"/>
                <w:kern w:val="2"/>
                <w:sz w:val="28"/>
                <w:szCs w:val="28"/>
                <w:highlight w:val="none"/>
                <w:lang w:val="en-US" w:eastAsia="zh-CN" w:bidi="ar-SA"/>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87051">
            <w:pPr>
              <w:jc w:val="left"/>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rPr>
              <w:t>据实结算</w:t>
            </w:r>
          </w:p>
        </w:tc>
      </w:tr>
      <w:tr w14:paraId="66682CB7">
        <w:tblPrEx>
          <w:tblCellMar>
            <w:top w:w="0" w:type="dxa"/>
            <w:left w:w="108" w:type="dxa"/>
            <w:bottom w:w="0" w:type="dxa"/>
            <w:right w:w="108" w:type="dxa"/>
          </w:tblCellMar>
        </w:tblPrEx>
        <w:trPr>
          <w:gridAfter w:val="1"/>
          <w:wAfter w:w="1" w:type="dxa"/>
          <w:trHeight w:val="496" w:hRule="atLeast"/>
          <w:jc w:val="center"/>
        </w:trPr>
        <w:tc>
          <w:tcPr>
            <w:tcW w:w="607" w:type="dxa"/>
            <w:vMerge w:val="restart"/>
            <w:tcBorders>
              <w:left w:val="single" w:color="000000" w:sz="4" w:space="0"/>
              <w:right w:val="single" w:color="000000" w:sz="4" w:space="0"/>
            </w:tcBorders>
            <w:shd w:val="clear" w:color="auto" w:fill="auto"/>
            <w:vAlign w:val="center"/>
          </w:tcPr>
          <w:p w14:paraId="1E3F10E8">
            <w:pPr>
              <w:widowControl/>
              <w:jc w:val="left"/>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备注</w:t>
            </w:r>
          </w:p>
        </w:tc>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BFD3DE">
            <w:pPr>
              <w:widowControl/>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接到甲方电话通知起2小时内到达指定地点。</w:t>
            </w:r>
          </w:p>
        </w:tc>
      </w:tr>
      <w:tr w14:paraId="33057B9E">
        <w:tblPrEx>
          <w:tblCellMar>
            <w:top w:w="0" w:type="dxa"/>
            <w:left w:w="108" w:type="dxa"/>
            <w:bottom w:w="0" w:type="dxa"/>
            <w:right w:w="108" w:type="dxa"/>
          </w:tblCellMar>
        </w:tblPrEx>
        <w:trPr>
          <w:gridAfter w:val="1"/>
          <w:wAfter w:w="1" w:type="dxa"/>
          <w:trHeight w:val="1057" w:hRule="atLeast"/>
          <w:jc w:val="center"/>
        </w:trPr>
        <w:tc>
          <w:tcPr>
            <w:tcW w:w="607" w:type="dxa"/>
            <w:vMerge w:val="continue"/>
            <w:tcBorders>
              <w:left w:val="single" w:color="000000" w:sz="4" w:space="0"/>
              <w:right w:val="single" w:color="000000" w:sz="4" w:space="0"/>
            </w:tcBorders>
            <w:shd w:val="clear" w:color="auto" w:fill="auto"/>
            <w:vAlign w:val="center"/>
          </w:tcPr>
          <w:p w14:paraId="27FBEF1B">
            <w:pPr>
              <w:widowControl/>
              <w:jc w:val="left"/>
              <w:textAlignment w:val="center"/>
              <w:rPr>
                <w:rFonts w:hint="eastAsia" w:ascii="仿宋_GB2312" w:hAnsi="仿宋_GB2312" w:eastAsia="仿宋_GB2312" w:cs="仿宋_GB2312"/>
                <w:color w:val="000000"/>
                <w:kern w:val="0"/>
                <w:sz w:val="28"/>
                <w:szCs w:val="28"/>
                <w:highlight w:val="none"/>
              </w:rPr>
            </w:pPr>
          </w:p>
        </w:tc>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F5C7E2">
            <w:pPr>
              <w:widowControl/>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联系人：                联系电话：         </w:t>
            </w:r>
          </w:p>
        </w:tc>
      </w:tr>
      <w:tr w14:paraId="04F41BD1">
        <w:tblPrEx>
          <w:tblCellMar>
            <w:top w:w="0" w:type="dxa"/>
            <w:left w:w="108" w:type="dxa"/>
            <w:bottom w:w="0" w:type="dxa"/>
            <w:right w:w="108" w:type="dxa"/>
          </w:tblCellMar>
        </w:tblPrEx>
        <w:trPr>
          <w:gridAfter w:val="1"/>
          <w:wAfter w:w="1" w:type="dxa"/>
          <w:trHeight w:val="1057" w:hRule="atLeast"/>
          <w:jc w:val="center"/>
        </w:trPr>
        <w:tc>
          <w:tcPr>
            <w:tcW w:w="607" w:type="dxa"/>
            <w:tcBorders>
              <w:left w:val="single" w:color="000000" w:sz="4" w:space="0"/>
              <w:bottom w:val="single" w:color="000000" w:sz="4" w:space="0"/>
              <w:right w:val="single" w:color="000000" w:sz="4" w:space="0"/>
            </w:tcBorders>
            <w:shd w:val="clear" w:color="auto" w:fill="auto"/>
            <w:vAlign w:val="center"/>
          </w:tcPr>
          <w:p w14:paraId="07A35F92">
            <w:pPr>
              <w:widowControl/>
              <w:jc w:val="left"/>
              <w:textAlignment w:val="center"/>
              <w:rPr>
                <w:rFonts w:hint="eastAsia" w:ascii="仿宋_GB2312" w:hAnsi="仿宋_GB2312" w:eastAsia="仿宋_GB2312" w:cs="仿宋_GB2312"/>
                <w:color w:val="000000"/>
                <w:kern w:val="0"/>
                <w:sz w:val="28"/>
                <w:szCs w:val="28"/>
                <w:highlight w:val="none"/>
              </w:rPr>
            </w:pPr>
          </w:p>
        </w:tc>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844984">
            <w:pPr>
              <w:widowControl/>
              <w:jc w:val="left"/>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sz w:val="24"/>
                <w:szCs w:val="24"/>
                <w:highlight w:val="none"/>
              </w:rPr>
              <w:t>工作时间：车辆使用在4.5小时以内，按半个台班结算</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超出4.5小时，但不超出9小时按一个台班结算</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超出9小时，按上述方法类推</w:t>
            </w:r>
            <w:r>
              <w:rPr>
                <w:rFonts w:hint="eastAsia" w:ascii="仿宋_GB2312" w:hAnsi="仿宋_GB2312" w:eastAsia="仿宋_GB2312" w:cs="仿宋_GB2312"/>
                <w:sz w:val="24"/>
                <w:szCs w:val="24"/>
                <w:highlight w:val="none"/>
                <w:lang w:eastAsia="zh-CN"/>
              </w:rPr>
              <w:t>。</w:t>
            </w:r>
          </w:p>
        </w:tc>
      </w:tr>
    </w:tbl>
    <w:p w14:paraId="2C1EF869">
      <w:pPr>
        <w:snapToGrid w:val="0"/>
        <w:spacing w:line="480" w:lineRule="auto"/>
        <w:jc w:val="left"/>
        <w:rPr>
          <w:rFonts w:hint="eastAsia"/>
          <w:sz w:val="32"/>
          <w:szCs w:val="32"/>
          <w:highlight w:val="none"/>
          <w:lang w:val="en-US" w:eastAsia="zh-CN"/>
        </w:rPr>
      </w:pPr>
    </w:p>
    <w:p w14:paraId="33BEFBA8">
      <w:pPr>
        <w:snapToGrid w:val="0"/>
        <w:spacing w:line="480" w:lineRule="auto"/>
        <w:jc w:val="left"/>
        <w:rPr>
          <w:sz w:val="32"/>
          <w:szCs w:val="32"/>
          <w:highlight w:val="none"/>
        </w:rPr>
      </w:pPr>
      <w:r>
        <w:rPr>
          <w:rFonts w:hint="eastAsia"/>
          <w:sz w:val="32"/>
          <w:szCs w:val="32"/>
          <w:highlight w:val="none"/>
          <w:lang w:val="en-US" w:eastAsia="zh-CN"/>
        </w:rPr>
        <w:t>响应人</w:t>
      </w:r>
      <w:r>
        <w:rPr>
          <w:rFonts w:hint="eastAsia"/>
          <w:sz w:val="32"/>
          <w:szCs w:val="32"/>
          <w:highlight w:val="none"/>
        </w:rPr>
        <w:t xml:space="preserve">：（盖单位公章） </w:t>
      </w:r>
      <w:r>
        <w:rPr>
          <w:sz w:val="32"/>
          <w:szCs w:val="32"/>
          <w:highlight w:val="none"/>
        </w:rPr>
        <w:t xml:space="preserve"> </w:t>
      </w:r>
    </w:p>
    <w:p w14:paraId="643EE12B">
      <w:pPr>
        <w:snapToGrid w:val="0"/>
        <w:spacing w:line="480" w:lineRule="auto"/>
        <w:jc w:val="left"/>
        <w:rPr>
          <w:sz w:val="32"/>
          <w:szCs w:val="32"/>
          <w:highlight w:val="none"/>
        </w:rPr>
      </w:pPr>
      <w:r>
        <w:rPr>
          <w:rFonts w:hint="eastAsia"/>
          <w:sz w:val="32"/>
          <w:szCs w:val="32"/>
          <w:highlight w:val="none"/>
          <w:lang w:val="en-US" w:eastAsia="zh-CN"/>
        </w:rPr>
        <w:t>响应单位法定代表人/授权代表人签字：</w:t>
      </w:r>
      <w:r>
        <w:rPr>
          <w:sz w:val="32"/>
          <w:szCs w:val="32"/>
          <w:highlight w:val="none"/>
        </w:rPr>
        <w:t xml:space="preserve">    </w:t>
      </w:r>
    </w:p>
    <w:p w14:paraId="5C71350D">
      <w:pPr>
        <w:snapToGrid w:val="0"/>
        <w:spacing w:line="480" w:lineRule="auto"/>
        <w:jc w:val="left"/>
        <w:rPr>
          <w:sz w:val="32"/>
          <w:szCs w:val="32"/>
          <w:highlight w:val="none"/>
        </w:rPr>
      </w:pPr>
      <w:r>
        <w:rPr>
          <w:rFonts w:hint="eastAsia"/>
          <w:sz w:val="32"/>
          <w:szCs w:val="32"/>
          <w:highlight w:val="none"/>
          <w:lang w:val="en-US" w:eastAsia="zh-CN"/>
        </w:rPr>
        <w:t xml:space="preserve">日期：  年  月  日 </w:t>
      </w:r>
      <w:r>
        <w:rPr>
          <w:sz w:val="32"/>
          <w:szCs w:val="32"/>
          <w:highlight w:val="none"/>
        </w:rPr>
        <w:t xml:space="preserve">    </w:t>
      </w:r>
    </w:p>
    <w:p w14:paraId="3079396F">
      <w:pPr>
        <w:jc w:val="center"/>
        <w:rPr>
          <w:rFonts w:hint="eastAsia"/>
          <w:sz w:val="32"/>
          <w:szCs w:val="32"/>
          <w:highlight w:val="none"/>
        </w:rPr>
      </w:pPr>
      <w:r>
        <w:rPr>
          <w:rFonts w:hint="eastAsia" w:ascii="楷体" w:hAnsi="楷体" w:eastAsia="楷体" w:cs="楷体"/>
          <w:sz w:val="28"/>
          <w:szCs w:val="28"/>
          <w:highlight w:val="none"/>
        </w:rPr>
        <w:br w:type="page"/>
      </w:r>
    </w:p>
    <w:p w14:paraId="389ADDBF">
      <w:pPr>
        <w:jc w:val="center"/>
        <w:rPr>
          <w:rStyle w:val="18"/>
          <w:rFonts w:ascii="宋体" w:hAnsi="宋体" w:cstheme="minorBidi"/>
          <w:b w:val="0"/>
          <w:highlight w:val="none"/>
        </w:rPr>
      </w:pPr>
      <w:r>
        <w:rPr>
          <w:rStyle w:val="18"/>
          <w:rFonts w:hint="eastAsia" w:ascii="宋体" w:hAnsi="宋体" w:cstheme="minorBidi"/>
          <w:b w:val="0"/>
          <w:highlight w:val="none"/>
        </w:rPr>
        <w:t>三、法定代表人身份证明</w:t>
      </w:r>
      <w:bookmarkEnd w:id="30"/>
    </w:p>
    <w:p w14:paraId="4310A3E6">
      <w:pPr>
        <w:spacing w:line="360" w:lineRule="auto"/>
        <w:ind w:firstLine="400" w:firstLineChars="200"/>
        <w:rPr>
          <w:rFonts w:ascii="宋体" w:hAnsi="宋体" w:cs="宋体"/>
          <w:sz w:val="20"/>
          <w:highlight w:val="none"/>
        </w:rPr>
      </w:pPr>
    </w:p>
    <w:p w14:paraId="303CF5B8">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谈判响应人名称：</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14:paraId="5D5FC28B">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单位性质：</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14:paraId="1F9A0EC8">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地址：</w:t>
      </w:r>
      <w:r>
        <w:rPr>
          <w:rFonts w:hint="eastAsia" w:ascii="宋体" w:hAnsi="宋体" w:cs="宋体"/>
          <w:sz w:val="32"/>
          <w:szCs w:val="32"/>
          <w:highlight w:val="none"/>
          <w:u w:val="single"/>
        </w:rPr>
        <w:t xml:space="preserve">                                   </w:t>
      </w:r>
    </w:p>
    <w:p w14:paraId="55BD6F6B">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经营期限：</w:t>
      </w:r>
      <w:r>
        <w:rPr>
          <w:rFonts w:hint="eastAsia" w:ascii="宋体" w:hAnsi="宋体" w:cs="宋体"/>
          <w:sz w:val="32"/>
          <w:szCs w:val="32"/>
          <w:highlight w:val="none"/>
          <w:u w:val="single"/>
        </w:rPr>
        <w:t xml:space="preserve">                               </w:t>
      </w:r>
    </w:p>
    <w:p w14:paraId="2AB71DAD">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姓名：</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性别：</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年龄：</w:t>
      </w:r>
      <w:r>
        <w:rPr>
          <w:rFonts w:hint="eastAsia" w:ascii="宋体" w:hAnsi="宋体" w:cs="宋体"/>
          <w:sz w:val="32"/>
          <w:szCs w:val="32"/>
          <w:highlight w:val="none"/>
          <w:u w:val="single"/>
        </w:rPr>
        <w:t xml:space="preserve">        </w:t>
      </w:r>
      <w:r>
        <w:rPr>
          <w:rFonts w:hint="eastAsia" w:ascii="宋体" w:hAnsi="宋体" w:cs="宋体"/>
          <w:sz w:val="32"/>
          <w:szCs w:val="32"/>
          <w:highlight w:val="none"/>
        </w:rPr>
        <w:t>职务：</w:t>
      </w:r>
      <w:r>
        <w:rPr>
          <w:rFonts w:hint="eastAsia" w:ascii="宋体" w:hAnsi="宋体" w:cs="宋体"/>
          <w:sz w:val="32"/>
          <w:szCs w:val="32"/>
          <w:highlight w:val="none"/>
          <w:u w:val="single"/>
        </w:rPr>
        <w:t xml:space="preserve">          </w:t>
      </w:r>
    </w:p>
    <w:p w14:paraId="46AFEF5B">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系</w:t>
      </w:r>
      <w:r>
        <w:rPr>
          <w:rFonts w:hint="eastAsia" w:ascii="宋体" w:hAnsi="宋体" w:cs="宋体"/>
          <w:sz w:val="32"/>
          <w:szCs w:val="32"/>
          <w:highlight w:val="none"/>
          <w:u w:val="single"/>
        </w:rPr>
        <w:t xml:space="preserve">                           （谈判响应人名称）</w:t>
      </w:r>
      <w:r>
        <w:rPr>
          <w:rFonts w:hint="eastAsia" w:ascii="宋体" w:hAnsi="宋体" w:cs="宋体"/>
          <w:sz w:val="32"/>
          <w:szCs w:val="32"/>
          <w:highlight w:val="none"/>
        </w:rPr>
        <w:t>的法定代表人。</w:t>
      </w:r>
    </w:p>
    <w:p w14:paraId="1297653B">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 xml:space="preserve">特此证明。                       </w:t>
      </w:r>
    </w:p>
    <w:p w14:paraId="3F7AC903">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附：法定代表人身份证复印件</w:t>
      </w:r>
    </w:p>
    <w:p w14:paraId="1939A4F1">
      <w:pPr>
        <w:spacing w:line="560" w:lineRule="exact"/>
        <w:ind w:firstLine="640" w:firstLineChars="200"/>
        <w:rPr>
          <w:rFonts w:ascii="仿宋" w:hAnsi="仿宋" w:eastAsia="仿宋"/>
          <w:sz w:val="32"/>
          <w:szCs w:val="32"/>
          <w:highlight w:val="none"/>
        </w:rPr>
      </w:pPr>
    </w:p>
    <w:p w14:paraId="004ACCBA">
      <w:pPr>
        <w:spacing w:line="560" w:lineRule="exact"/>
        <w:ind w:firstLine="640" w:firstLineChars="200"/>
        <w:rPr>
          <w:rFonts w:ascii="仿宋" w:hAnsi="仿宋" w:eastAsia="仿宋"/>
          <w:sz w:val="32"/>
          <w:szCs w:val="32"/>
          <w:highlight w:val="none"/>
        </w:rPr>
      </w:pPr>
    </w:p>
    <w:p w14:paraId="7D695238">
      <w:pPr>
        <w:spacing w:line="560" w:lineRule="exact"/>
        <w:rPr>
          <w:rFonts w:ascii="仿宋" w:hAnsi="仿宋" w:eastAsia="仿宋"/>
          <w:sz w:val="32"/>
          <w:szCs w:val="32"/>
          <w:highlight w:val="none"/>
        </w:rPr>
      </w:pPr>
    </w:p>
    <w:p w14:paraId="05DB4D34">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 xml:space="preserve">  </w:t>
      </w:r>
    </w:p>
    <w:p w14:paraId="5EAE2A24">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谈判响应人：</w:t>
      </w:r>
      <w:r>
        <w:rPr>
          <w:rFonts w:hint="eastAsia" w:ascii="宋体" w:hAnsi="宋体" w:cs="宋体"/>
          <w:sz w:val="32"/>
          <w:szCs w:val="32"/>
          <w:highlight w:val="none"/>
          <w:u w:val="single"/>
        </w:rPr>
        <w:t xml:space="preserve">               </w:t>
      </w:r>
      <w:r>
        <w:rPr>
          <w:rFonts w:hint="eastAsia" w:ascii="宋体" w:hAnsi="宋体" w:cs="宋体"/>
          <w:sz w:val="32"/>
          <w:szCs w:val="32"/>
          <w:highlight w:val="none"/>
        </w:rPr>
        <w:t>（盖单位章）</w:t>
      </w:r>
    </w:p>
    <w:p w14:paraId="1562C1B9">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 xml:space="preserve">             </w:t>
      </w:r>
      <w:r>
        <w:rPr>
          <w:rFonts w:hint="eastAsia" w:ascii="宋体" w:hAnsi="宋体" w:cs="宋体"/>
          <w:sz w:val="32"/>
          <w:szCs w:val="32"/>
          <w:highlight w:val="none"/>
          <w:u w:val="single"/>
        </w:rPr>
        <w:t xml:space="preserve">       </w:t>
      </w:r>
      <w:r>
        <w:rPr>
          <w:rFonts w:hint="eastAsia" w:ascii="宋体" w:hAnsi="宋体" w:cs="宋体"/>
          <w:sz w:val="32"/>
          <w:szCs w:val="32"/>
          <w:highlight w:val="none"/>
        </w:rPr>
        <w:t>年</w:t>
      </w:r>
      <w:r>
        <w:rPr>
          <w:rFonts w:hint="eastAsia" w:ascii="宋体" w:hAnsi="宋体" w:cs="宋体"/>
          <w:sz w:val="32"/>
          <w:szCs w:val="32"/>
          <w:highlight w:val="none"/>
          <w:u w:val="single"/>
        </w:rPr>
        <w:t xml:space="preserve">       </w:t>
      </w:r>
      <w:r>
        <w:rPr>
          <w:rFonts w:hint="eastAsia" w:ascii="宋体" w:hAnsi="宋体" w:cs="宋体"/>
          <w:sz w:val="32"/>
          <w:szCs w:val="32"/>
          <w:highlight w:val="none"/>
        </w:rPr>
        <w:t>月</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日 </w:t>
      </w:r>
    </w:p>
    <w:p w14:paraId="1C1D1395">
      <w:pPr>
        <w:spacing w:line="360" w:lineRule="auto"/>
        <w:ind w:right="210"/>
        <w:rPr>
          <w:rFonts w:ascii="黑体" w:hAnsi="黑体" w:eastAsia="黑体" w:cs="黑体"/>
          <w:sz w:val="32"/>
          <w:szCs w:val="32"/>
          <w:highlight w:val="none"/>
        </w:rPr>
      </w:pPr>
      <w:r>
        <w:rPr>
          <w:rFonts w:hint="eastAsia" w:ascii="宋体" w:hAnsi="宋体" w:cs="宋体"/>
          <w:sz w:val="28"/>
          <w:szCs w:val="21"/>
          <w:highlight w:val="none"/>
        </w:rPr>
        <w:br w:type="page"/>
      </w:r>
    </w:p>
    <w:p w14:paraId="1140319D">
      <w:pPr>
        <w:jc w:val="center"/>
        <w:rPr>
          <w:rStyle w:val="18"/>
          <w:rFonts w:ascii="宋体" w:hAnsi="宋体" w:cstheme="minorBidi"/>
          <w:b w:val="0"/>
          <w:highlight w:val="none"/>
        </w:rPr>
      </w:pPr>
      <w:r>
        <w:rPr>
          <w:rStyle w:val="18"/>
          <w:rFonts w:hint="eastAsia" w:ascii="宋体" w:hAnsi="宋体" w:cstheme="minorBidi"/>
          <w:b w:val="0"/>
          <w:highlight w:val="none"/>
        </w:rPr>
        <w:t>四、法定代表人授权书</w:t>
      </w:r>
    </w:p>
    <w:p w14:paraId="46039C74">
      <w:pPr>
        <w:spacing w:line="530" w:lineRule="exact"/>
        <w:ind w:firstLine="420"/>
        <w:rPr>
          <w:rFonts w:ascii="宋体" w:hAnsi="宋体"/>
          <w:szCs w:val="21"/>
          <w:highlight w:val="none"/>
        </w:rPr>
      </w:pPr>
      <w:r>
        <w:rPr>
          <w:rFonts w:hint="eastAsia" w:ascii="宋体" w:hAnsi="宋体"/>
          <w:szCs w:val="21"/>
          <w:highlight w:val="none"/>
        </w:rPr>
        <w:t>本授权书声明：注册于[</w:t>
      </w:r>
      <w:r>
        <w:rPr>
          <w:rFonts w:hint="eastAsia" w:ascii="宋体" w:hAnsi="宋体"/>
          <w:szCs w:val="21"/>
          <w:highlight w:val="none"/>
          <w:u w:val="single"/>
        </w:rPr>
        <w:t>国家或地区的名称</w:t>
      </w:r>
      <w:r>
        <w:rPr>
          <w:rFonts w:hint="eastAsia" w:ascii="宋体" w:hAnsi="宋体"/>
          <w:szCs w:val="21"/>
          <w:highlight w:val="none"/>
        </w:rPr>
        <w:t>]的[</w:t>
      </w:r>
      <w:r>
        <w:rPr>
          <w:rFonts w:hint="eastAsia" w:ascii="宋体" w:hAnsi="宋体"/>
          <w:szCs w:val="21"/>
          <w:highlight w:val="none"/>
          <w:u w:val="single"/>
        </w:rPr>
        <w:t>公司名称</w:t>
      </w:r>
      <w:r>
        <w:rPr>
          <w:rFonts w:hint="eastAsia" w:ascii="宋体" w:hAnsi="宋体"/>
          <w:szCs w:val="21"/>
          <w:highlight w:val="none"/>
        </w:rPr>
        <w:t>]的在下面签字或签</w:t>
      </w:r>
      <w:r>
        <w:rPr>
          <w:rFonts w:ascii="宋体" w:hAnsi="宋体"/>
          <w:szCs w:val="21"/>
          <w:highlight w:val="none"/>
        </w:rPr>
        <w:t>章</w:t>
      </w:r>
      <w:r>
        <w:rPr>
          <w:rFonts w:hint="eastAsia" w:ascii="宋体" w:hAnsi="宋体"/>
          <w:szCs w:val="21"/>
          <w:highlight w:val="none"/>
        </w:rPr>
        <w:t>的[</w:t>
      </w:r>
      <w:r>
        <w:rPr>
          <w:rFonts w:hint="eastAsia" w:ascii="宋体" w:hAnsi="宋体"/>
          <w:szCs w:val="21"/>
          <w:highlight w:val="none"/>
          <w:u w:val="single"/>
        </w:rPr>
        <w:t>法定代表人姓名、职务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代表本公司授权[</w:t>
      </w:r>
      <w:r>
        <w:rPr>
          <w:rFonts w:ascii="宋体" w:hAnsi="宋体"/>
          <w:szCs w:val="21"/>
          <w:highlight w:val="none"/>
          <w:u w:val="single"/>
        </w:rPr>
        <w:t>公司</w:t>
      </w:r>
      <w:r>
        <w:rPr>
          <w:rFonts w:hint="eastAsia" w:ascii="宋体" w:hAnsi="宋体"/>
          <w:szCs w:val="21"/>
          <w:highlight w:val="none"/>
          <w:u w:val="single"/>
        </w:rPr>
        <w:t>名称</w:t>
      </w:r>
      <w:r>
        <w:rPr>
          <w:rFonts w:hint="eastAsia" w:ascii="宋体" w:hAnsi="宋体"/>
          <w:szCs w:val="21"/>
          <w:highlight w:val="none"/>
        </w:rPr>
        <w:t>]的在下面签字的[</w:t>
      </w:r>
      <w:r>
        <w:rPr>
          <w:rFonts w:hint="eastAsia" w:ascii="宋体" w:hAnsi="宋体"/>
          <w:szCs w:val="21"/>
          <w:highlight w:val="none"/>
          <w:u w:val="single"/>
        </w:rPr>
        <w:t>被授权人的姓名、职务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为本公司的合法代理人，就[</w:t>
      </w:r>
      <w:r>
        <w:rPr>
          <w:rFonts w:hint="eastAsia" w:ascii="宋体" w:hAnsi="宋体"/>
          <w:szCs w:val="21"/>
          <w:highlight w:val="none"/>
          <w:u w:val="single"/>
        </w:rPr>
        <w:t>项目名称、</w:t>
      </w:r>
      <w:r>
        <w:rPr>
          <w:rFonts w:ascii="宋体" w:hAnsi="宋体"/>
          <w:szCs w:val="21"/>
          <w:highlight w:val="none"/>
          <w:u w:val="single"/>
        </w:rPr>
        <w:t>项目</w:t>
      </w:r>
      <w:r>
        <w:rPr>
          <w:rFonts w:hint="eastAsia" w:ascii="宋体" w:hAnsi="宋体"/>
          <w:szCs w:val="21"/>
          <w:highlight w:val="none"/>
          <w:u w:val="single"/>
        </w:rPr>
        <w:t>编号</w:t>
      </w:r>
      <w:r>
        <w:rPr>
          <w:rFonts w:hint="eastAsia" w:ascii="宋体" w:hAnsi="宋体"/>
          <w:szCs w:val="21"/>
          <w:highlight w:val="none"/>
        </w:rPr>
        <w:t>]进行响应，以本公司名义处理开</w:t>
      </w:r>
      <w:r>
        <w:rPr>
          <w:rFonts w:ascii="宋体" w:hAnsi="宋体"/>
          <w:szCs w:val="21"/>
          <w:highlight w:val="none"/>
        </w:rPr>
        <w:t>标</w:t>
      </w:r>
      <w:r>
        <w:rPr>
          <w:rFonts w:hint="eastAsia" w:ascii="宋体" w:hAnsi="宋体"/>
          <w:szCs w:val="21"/>
          <w:highlight w:val="none"/>
        </w:rPr>
        <w:t>、评标过程中发生的一切事务。</w:t>
      </w:r>
    </w:p>
    <w:p w14:paraId="7E06EB30">
      <w:pPr>
        <w:spacing w:line="530" w:lineRule="exact"/>
        <w:ind w:firstLine="420"/>
        <w:rPr>
          <w:rFonts w:ascii="宋体" w:hAnsi="宋体"/>
          <w:szCs w:val="21"/>
          <w:highlight w:val="none"/>
        </w:rPr>
      </w:pPr>
      <w:r>
        <w:rPr>
          <w:rFonts w:hint="eastAsia" w:ascii="宋体" w:hAnsi="宋体"/>
          <w:szCs w:val="21"/>
          <w:highlight w:val="none"/>
        </w:rPr>
        <w:t>同时我公司承诺：</w:t>
      </w:r>
    </w:p>
    <w:p w14:paraId="4D5D8389">
      <w:pPr>
        <w:spacing w:line="530" w:lineRule="exact"/>
        <w:ind w:firstLine="420"/>
        <w:rPr>
          <w:rFonts w:ascii="宋体" w:hAnsi="宋体"/>
          <w:szCs w:val="21"/>
          <w:highlight w:val="none"/>
        </w:rPr>
      </w:pPr>
      <w:r>
        <w:rPr>
          <w:rFonts w:hint="eastAsia" w:ascii="宋体" w:hAnsi="宋体"/>
          <w:szCs w:val="21"/>
          <w:highlight w:val="none"/>
        </w:rPr>
        <w:t>1.我公司本项目被授权人联系方式如下：</w:t>
      </w:r>
    </w:p>
    <w:p w14:paraId="7A0C72B9">
      <w:pPr>
        <w:spacing w:line="530" w:lineRule="exact"/>
        <w:ind w:firstLine="420"/>
        <w:rPr>
          <w:rFonts w:ascii="宋体" w:hAnsi="宋体"/>
          <w:szCs w:val="21"/>
          <w:highlight w:val="none"/>
        </w:rPr>
      </w:pPr>
      <w:r>
        <w:rPr>
          <w:rFonts w:hint="eastAsia" w:ascii="宋体" w:hAnsi="宋体"/>
          <w:szCs w:val="21"/>
          <w:highlight w:val="none"/>
        </w:rPr>
        <w:t>手机号：              ；微信号：               ；</w:t>
      </w:r>
    </w:p>
    <w:p w14:paraId="6A05096F">
      <w:pPr>
        <w:spacing w:line="530" w:lineRule="exact"/>
        <w:ind w:firstLine="420"/>
        <w:rPr>
          <w:rFonts w:ascii="宋体" w:hAnsi="宋体"/>
          <w:szCs w:val="21"/>
          <w:highlight w:val="none"/>
        </w:rPr>
      </w:pPr>
      <w:r>
        <w:rPr>
          <w:rFonts w:hint="eastAsia" w:ascii="宋体" w:hAnsi="宋体"/>
          <w:szCs w:val="21"/>
          <w:highlight w:val="none"/>
        </w:rPr>
        <w:t>QQ号：               ；电子邮箱：              。</w:t>
      </w:r>
    </w:p>
    <w:p w14:paraId="34A5DE1C">
      <w:pPr>
        <w:spacing w:line="530" w:lineRule="exact"/>
        <w:ind w:firstLine="420"/>
        <w:rPr>
          <w:rFonts w:ascii="宋体" w:hAnsi="宋体" w:cs="等线"/>
          <w:szCs w:val="21"/>
          <w:highlight w:val="none"/>
        </w:rPr>
      </w:pPr>
      <w:r>
        <w:rPr>
          <w:rFonts w:hint="eastAsia" w:ascii="宋体" w:hAnsi="宋体"/>
          <w:szCs w:val="21"/>
          <w:highlight w:val="none"/>
        </w:rPr>
        <w:t>2.我公司对开标、评标过程中发生的与本项目有关的一切事物</w:t>
      </w:r>
      <w:r>
        <w:rPr>
          <w:rFonts w:hint="eastAsia" w:ascii="宋体" w:hAnsi="宋体" w:cs="等线"/>
          <w:szCs w:val="21"/>
          <w:highlight w:val="none"/>
        </w:rPr>
        <w:t>、我公司被授权人的</w:t>
      </w:r>
      <w:r>
        <w:rPr>
          <w:rFonts w:hint="eastAsia" w:ascii="宋体" w:hAnsi="宋体"/>
          <w:szCs w:val="21"/>
          <w:highlight w:val="none"/>
        </w:rPr>
        <w:t>手机、</w:t>
      </w:r>
      <w:r>
        <w:rPr>
          <w:rFonts w:ascii="宋体" w:hAnsi="宋体"/>
          <w:szCs w:val="21"/>
          <w:highlight w:val="none"/>
        </w:rPr>
        <w:t>微信</w:t>
      </w:r>
      <w:r>
        <w:rPr>
          <w:rFonts w:hint="eastAsia" w:ascii="宋体" w:hAnsi="宋体"/>
          <w:szCs w:val="21"/>
          <w:highlight w:val="none"/>
        </w:rPr>
        <w:t>、</w:t>
      </w:r>
      <w:r>
        <w:rPr>
          <w:rFonts w:ascii="宋体" w:hAnsi="宋体"/>
          <w:szCs w:val="21"/>
          <w:highlight w:val="none"/>
        </w:rPr>
        <w:t>QQ</w:t>
      </w:r>
      <w:r>
        <w:rPr>
          <w:rFonts w:hint="eastAsia" w:ascii="宋体" w:hAnsi="宋体"/>
          <w:szCs w:val="21"/>
          <w:highlight w:val="none"/>
        </w:rPr>
        <w:t>、电子邮件</w:t>
      </w:r>
      <w:r>
        <w:rPr>
          <w:rFonts w:hint="eastAsia" w:ascii="宋体" w:hAnsi="宋体" w:cs="等线"/>
          <w:szCs w:val="21"/>
          <w:highlight w:val="none"/>
        </w:rPr>
        <w:t>等方式的沟通结果均予以承认。</w:t>
      </w:r>
    </w:p>
    <w:p w14:paraId="155332EF">
      <w:pPr>
        <w:spacing w:line="530" w:lineRule="exact"/>
        <w:ind w:firstLine="420"/>
        <w:rPr>
          <w:rFonts w:ascii="宋体" w:hAnsi="宋体"/>
          <w:szCs w:val="21"/>
          <w:highlight w:val="none"/>
        </w:rPr>
      </w:pPr>
      <w:r>
        <w:rPr>
          <w:rFonts w:hint="eastAsia" w:ascii="宋体" w:hAnsi="宋体"/>
          <w:szCs w:val="21"/>
          <w:highlight w:val="none"/>
        </w:rPr>
        <w:t>3.我公司对开、评标过程中所需的任何澄清与说明予以及时配合。</w:t>
      </w:r>
    </w:p>
    <w:p w14:paraId="301AB38E">
      <w:pPr>
        <w:spacing w:line="530" w:lineRule="exact"/>
        <w:ind w:firstLine="420"/>
        <w:rPr>
          <w:rFonts w:ascii="宋体" w:hAnsi="宋体"/>
          <w:szCs w:val="21"/>
          <w:highlight w:val="none"/>
        </w:rPr>
      </w:pPr>
      <w:r>
        <w:rPr>
          <w:rFonts w:hint="eastAsia" w:ascii="宋体" w:hAnsi="宋体"/>
          <w:szCs w:val="21"/>
          <w:highlight w:val="none"/>
        </w:rPr>
        <w:t>5.我公司同意：如果我公司竞争谈判文件没有按照上述要求进行密封，在开标现场出现内、外层信封（或箱子）均没有密封完好的情况，贵方可以视同我公司响应无效。</w:t>
      </w:r>
    </w:p>
    <w:p w14:paraId="638F07A0">
      <w:pPr>
        <w:spacing w:line="530" w:lineRule="exact"/>
        <w:ind w:firstLine="420"/>
        <w:rPr>
          <w:rFonts w:ascii="宋体" w:hAnsi="宋体"/>
          <w:szCs w:val="21"/>
          <w:highlight w:val="none"/>
        </w:rPr>
      </w:pPr>
    </w:p>
    <w:p w14:paraId="20E26D86">
      <w:pPr>
        <w:spacing w:line="530" w:lineRule="exact"/>
        <w:ind w:firstLine="420"/>
        <w:rPr>
          <w:rFonts w:ascii="宋体" w:hAnsi="宋体"/>
          <w:szCs w:val="21"/>
          <w:highlight w:val="none"/>
        </w:rPr>
      </w:pPr>
      <w:r>
        <w:rPr>
          <w:rFonts w:hint="eastAsia" w:ascii="宋体" w:hAnsi="宋体"/>
          <w:szCs w:val="21"/>
          <w:highlight w:val="none"/>
        </w:rPr>
        <w:t>本授权书于202[</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06C51D42">
      <w:pPr>
        <w:spacing w:line="530" w:lineRule="exact"/>
        <w:ind w:firstLine="210" w:firstLineChars="100"/>
        <w:rPr>
          <w:rFonts w:ascii="宋体" w:hAnsi="宋体"/>
          <w:szCs w:val="21"/>
          <w:highlight w:val="none"/>
        </w:rPr>
      </w:pPr>
    </w:p>
    <w:p w14:paraId="6595D600">
      <w:pPr>
        <w:spacing w:line="530" w:lineRule="exact"/>
        <w:ind w:firstLine="210" w:firstLineChars="100"/>
        <w:rPr>
          <w:rFonts w:ascii="宋体" w:hAnsi="宋体"/>
          <w:szCs w:val="21"/>
          <w:highlight w:val="none"/>
        </w:rPr>
      </w:pPr>
    </w:p>
    <w:p w14:paraId="6F54FEFC">
      <w:pPr>
        <w:spacing w:line="530" w:lineRule="exact"/>
        <w:rPr>
          <w:rFonts w:ascii="宋体" w:hAnsi="宋体"/>
          <w:szCs w:val="21"/>
          <w:highlight w:val="none"/>
          <w:u w:val="single"/>
        </w:rPr>
      </w:pPr>
      <w:r>
        <w:rPr>
          <w:rFonts w:hint="eastAsia" w:ascii="宋体" w:hAnsi="宋体"/>
          <w:szCs w:val="21"/>
          <w:highlight w:val="none"/>
        </w:rPr>
        <w:t>谈判响应人名称（</w:t>
      </w:r>
      <w:r>
        <w:rPr>
          <w:rFonts w:ascii="宋体" w:hAnsi="宋体"/>
          <w:szCs w:val="21"/>
          <w:highlight w:val="none"/>
        </w:rPr>
        <w:t>公章</w:t>
      </w:r>
      <w:r>
        <w:rPr>
          <w:rFonts w:hint="eastAsia" w:ascii="宋体" w:hAnsi="宋体"/>
          <w:szCs w:val="21"/>
          <w:highlight w:val="none"/>
        </w:rPr>
        <w:t>）</w:t>
      </w:r>
      <w:r>
        <w:rPr>
          <w:rFonts w:hint="eastAsia" w:ascii="宋体" w:hAnsi="宋体"/>
          <w:szCs w:val="21"/>
          <w:highlight w:val="none"/>
          <w:u w:val="single"/>
        </w:rPr>
        <w:t xml:space="preserve">                            </w:t>
      </w:r>
    </w:p>
    <w:p w14:paraId="3E34B1A2">
      <w:pPr>
        <w:spacing w:line="530" w:lineRule="exact"/>
        <w:rPr>
          <w:rFonts w:ascii="宋体" w:hAnsi="宋体"/>
          <w:szCs w:val="21"/>
          <w:highlight w:val="none"/>
          <w:u w:val="single"/>
        </w:rPr>
      </w:pPr>
      <w:r>
        <w:rPr>
          <w:rFonts w:hint="eastAsia" w:ascii="宋体" w:hAnsi="宋体"/>
          <w:szCs w:val="21"/>
          <w:highlight w:val="none"/>
        </w:rPr>
        <w:t>法定代表人签字或签章</w:t>
      </w:r>
      <w:r>
        <w:rPr>
          <w:rFonts w:hint="eastAsia" w:ascii="宋体" w:hAnsi="宋体"/>
          <w:szCs w:val="21"/>
          <w:highlight w:val="none"/>
          <w:u w:val="single"/>
        </w:rPr>
        <w:t xml:space="preserve">                          </w:t>
      </w:r>
    </w:p>
    <w:p w14:paraId="22926A69">
      <w:pPr>
        <w:spacing w:line="530" w:lineRule="exact"/>
        <w:rPr>
          <w:rFonts w:ascii="宋体" w:hAnsi="宋体"/>
          <w:szCs w:val="21"/>
          <w:highlight w:val="none"/>
          <w:u w:val="single"/>
        </w:rPr>
      </w:pPr>
      <w:r>
        <w:rPr>
          <w:rFonts w:hint="eastAsia" w:ascii="宋体" w:hAnsi="宋体"/>
          <w:szCs w:val="21"/>
          <w:highlight w:val="none"/>
        </w:rPr>
        <w:t>被授权人签字</w:t>
      </w:r>
      <w:r>
        <w:rPr>
          <w:rFonts w:hint="eastAsia" w:ascii="宋体" w:hAnsi="宋体"/>
          <w:szCs w:val="21"/>
          <w:highlight w:val="none"/>
          <w:u w:val="single"/>
        </w:rPr>
        <w:t xml:space="preserve">                                  </w:t>
      </w:r>
    </w:p>
    <w:p w14:paraId="63920D04">
      <w:pPr>
        <w:pStyle w:val="8"/>
        <w:ind w:left="0" w:leftChars="0"/>
        <w:rPr>
          <w:highlight w:val="none"/>
        </w:rPr>
      </w:pPr>
    </w:p>
    <w:p w14:paraId="6C1C61C0">
      <w:pPr>
        <w:spacing w:line="360" w:lineRule="auto"/>
        <w:rPr>
          <w:rFonts w:hint="eastAsia" w:ascii="宋体" w:cs="宋体"/>
          <w:szCs w:val="21"/>
          <w:highlight w:val="none"/>
        </w:rPr>
      </w:pPr>
    </w:p>
    <w:p w14:paraId="358CCD57">
      <w:pPr>
        <w:spacing w:line="360" w:lineRule="auto"/>
        <w:rPr>
          <w:rFonts w:hint="eastAsia" w:ascii="宋体" w:cs="宋体"/>
          <w:szCs w:val="21"/>
          <w:highlight w:val="none"/>
        </w:rPr>
      </w:pPr>
    </w:p>
    <w:p w14:paraId="00AC2B1E">
      <w:pPr>
        <w:spacing w:line="360" w:lineRule="auto"/>
        <w:rPr>
          <w:rFonts w:hint="eastAsia" w:ascii="宋体" w:cs="宋体"/>
          <w:szCs w:val="21"/>
          <w:highlight w:val="none"/>
        </w:rPr>
      </w:pPr>
    </w:p>
    <w:p w14:paraId="53A75FCC">
      <w:pPr>
        <w:spacing w:line="360" w:lineRule="auto"/>
        <w:rPr>
          <w:rFonts w:hint="eastAsia" w:ascii="宋体" w:cs="宋体"/>
          <w:szCs w:val="21"/>
          <w:highlight w:val="none"/>
        </w:rPr>
      </w:pPr>
    </w:p>
    <w:p w14:paraId="48687763">
      <w:pPr>
        <w:spacing w:line="360" w:lineRule="auto"/>
        <w:rPr>
          <w:rFonts w:ascii="宋体" w:cs="宋体"/>
          <w:szCs w:val="21"/>
          <w:highlight w:val="none"/>
        </w:rPr>
      </w:pPr>
      <w:r>
        <w:rPr>
          <w:rFonts w:hint="eastAsia" w:ascii="宋体" w:cs="宋体"/>
          <w:szCs w:val="21"/>
          <w:highlight w:val="none"/>
        </w:rPr>
        <w:t>附：</w:t>
      </w:r>
    </w:p>
    <w:p w14:paraId="760F816A">
      <w:pPr>
        <w:spacing w:line="360" w:lineRule="auto"/>
        <w:rPr>
          <w:rFonts w:ascii="宋体" w:cs="宋体"/>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271145</wp:posOffset>
                </wp:positionV>
                <wp:extent cx="2977515" cy="1924685"/>
                <wp:effectExtent l="4445" t="4445" r="15240" b="1397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_x0000_s1026" o:spid="_x0000_s1026" o:spt="2" style="position:absolute;left:0pt;margin-left:-4.5pt;margin-top:21.35pt;height:151.55pt;width:234.45pt;z-index:251659264;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E/&#10;W/bXAAAACQEAAA8AAAAAAAAAAQAgAAAAIgAAAGRycy9kb3ducmV2LnhtbFBLAQIUABQAAAAIAIdO&#10;4kA2mghVJAIAAFoEAAAOAAAAAAAAAAEAIAAAACYBAABkcnMvZTJvRG9jLnhtbFBLBQYAAAAABgAG&#10;AFkBAAC8BQAAAAA=&#10;">
                <v:fill on="t" focussize="0,0"/>
                <v:stroke color="#000000" joinstyle="round"/>
                <v:imagedata o:title=""/>
                <o:lock v:ext="edit" aspectratio="f"/>
              </v:roundrect>
            </w:pict>
          </mc:Fallback>
        </mc:AlternateContent>
      </w:r>
      <w:r>
        <w:rPr>
          <w:rFonts w:hint="eastAsia" w:ascii="宋体" w:cs="宋体"/>
          <w:szCs w:val="21"/>
          <w:highlight w:val="none"/>
        </w:rPr>
        <w:t>法定代表人身份证复印件（正反面，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14:paraId="3FBE4FF5">
      <w:pPr>
        <w:spacing w:line="360" w:lineRule="auto"/>
        <w:rPr>
          <w:rFonts w:ascii="宋体" w:cs="宋体"/>
          <w:szCs w:val="21"/>
          <w:highlight w:val="none"/>
        </w:rPr>
      </w:pPr>
    </w:p>
    <w:p w14:paraId="1A315F13">
      <w:pPr>
        <w:spacing w:line="360" w:lineRule="auto"/>
        <w:rPr>
          <w:rFonts w:ascii="宋体" w:cs="宋体"/>
          <w:szCs w:val="21"/>
          <w:highlight w:val="none"/>
        </w:rPr>
      </w:pPr>
    </w:p>
    <w:p w14:paraId="54732A11">
      <w:pPr>
        <w:spacing w:line="360" w:lineRule="auto"/>
        <w:rPr>
          <w:rFonts w:ascii="宋体" w:cs="宋体"/>
          <w:szCs w:val="21"/>
          <w:highlight w:val="none"/>
        </w:rPr>
      </w:pPr>
    </w:p>
    <w:p w14:paraId="1010A96F">
      <w:pPr>
        <w:spacing w:line="360" w:lineRule="auto"/>
        <w:rPr>
          <w:rFonts w:ascii="宋体" w:cs="宋体"/>
          <w:szCs w:val="21"/>
          <w:highlight w:val="none"/>
        </w:rPr>
      </w:pPr>
    </w:p>
    <w:p w14:paraId="1291394B">
      <w:pPr>
        <w:spacing w:line="360" w:lineRule="auto"/>
        <w:rPr>
          <w:rFonts w:ascii="宋体" w:cs="宋体"/>
          <w:szCs w:val="21"/>
          <w:highlight w:val="none"/>
        </w:rPr>
      </w:pPr>
    </w:p>
    <w:p w14:paraId="496187A5">
      <w:pPr>
        <w:spacing w:line="360" w:lineRule="auto"/>
        <w:rPr>
          <w:rFonts w:ascii="宋体" w:cs="宋体"/>
          <w:szCs w:val="21"/>
          <w:highlight w:val="none"/>
        </w:rPr>
      </w:pPr>
    </w:p>
    <w:p w14:paraId="3511C39A">
      <w:pPr>
        <w:spacing w:line="360" w:lineRule="auto"/>
        <w:rPr>
          <w:rFonts w:ascii="宋体" w:hAnsi="宋体"/>
          <w:highlight w:val="none"/>
        </w:rPr>
      </w:pPr>
    </w:p>
    <w:p w14:paraId="21F46D83">
      <w:pPr>
        <w:spacing w:line="360" w:lineRule="auto"/>
        <w:rPr>
          <w:rFonts w:ascii="宋体" w:hAnsi="宋体"/>
          <w:highlight w:val="none"/>
          <w:u w:val="singl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290195</wp:posOffset>
                </wp:positionV>
                <wp:extent cx="2977515" cy="1924685"/>
                <wp:effectExtent l="4445" t="4445" r="15240" b="1397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_x0000_s1026" o:spid="_x0000_s1026" o:spt="2" style="position:absolute;left:0pt;margin-left:-5.6pt;margin-top:22.85pt;height:151.55pt;width:234.45pt;z-index:251660288;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0T/8&#10;1gAAAAoBAAAPAAAAAAAAAAEAIAAAACIAAABkcnMvZG93bnJldi54bWxQSwECFAAUAAAACACHTuJA&#10;OfrplyMCAABaBAAADgAAAAAAAAABACAAAAAlAQAAZHJzL2Uyb0RvYy54bWxQSwUGAAAAAAYABgBZ&#10;AQAAugUAAAAA&#10;">
                <v:fill on="t" focussize="0,0"/>
                <v:stroke color="#000000" joinstyle="round"/>
                <v:imagedata o:title=""/>
                <o:lock v:ext="edit" aspectratio="f"/>
              </v:roundrect>
            </w:pict>
          </mc:Fallback>
        </mc:AlternateContent>
      </w:r>
      <w:r>
        <w:rPr>
          <w:rFonts w:hint="eastAsia" w:ascii="宋体" w:hAnsi="宋体"/>
          <w:highlight w:val="none"/>
        </w:rPr>
        <w:t>被授权人</w:t>
      </w:r>
      <w:r>
        <w:rPr>
          <w:rFonts w:hint="eastAsia" w:ascii="宋体" w:cs="宋体"/>
          <w:szCs w:val="21"/>
          <w:highlight w:val="none"/>
        </w:rPr>
        <w:t>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14:paraId="68DA7FA1">
      <w:pPr>
        <w:rPr>
          <w:rFonts w:ascii="宋体" w:hAnsi="宋体"/>
          <w:sz w:val="24"/>
          <w:highlight w:val="none"/>
        </w:rPr>
      </w:pPr>
    </w:p>
    <w:p w14:paraId="4AA900FD">
      <w:pPr>
        <w:rPr>
          <w:rFonts w:ascii="宋体" w:hAnsi="宋体"/>
          <w:sz w:val="24"/>
          <w:highlight w:val="none"/>
        </w:rPr>
      </w:pPr>
    </w:p>
    <w:p w14:paraId="7DB19438">
      <w:pPr>
        <w:rPr>
          <w:rFonts w:ascii="宋体" w:hAnsi="宋体"/>
          <w:sz w:val="24"/>
          <w:highlight w:val="none"/>
        </w:rPr>
      </w:pPr>
    </w:p>
    <w:p w14:paraId="5BEB2B1B">
      <w:pPr>
        <w:rPr>
          <w:rFonts w:ascii="宋体" w:hAnsi="宋体"/>
          <w:sz w:val="24"/>
          <w:highlight w:val="none"/>
        </w:rPr>
      </w:pPr>
    </w:p>
    <w:p w14:paraId="7D52E0DF">
      <w:pPr>
        <w:rPr>
          <w:rFonts w:ascii="宋体" w:hAnsi="宋体"/>
          <w:sz w:val="24"/>
          <w:highlight w:val="none"/>
        </w:rPr>
      </w:pPr>
    </w:p>
    <w:p w14:paraId="10CE929E">
      <w:pPr>
        <w:spacing w:line="360" w:lineRule="auto"/>
        <w:rPr>
          <w:rFonts w:ascii="宋体" w:hAnsi="宋体"/>
          <w:highlight w:val="none"/>
          <w:u w:val="single"/>
        </w:rPr>
      </w:pPr>
    </w:p>
    <w:p w14:paraId="521BC9E4">
      <w:pPr>
        <w:rPr>
          <w:highlight w:val="none"/>
        </w:rPr>
      </w:pPr>
    </w:p>
    <w:p w14:paraId="5024545B">
      <w:pPr>
        <w:spacing w:line="360" w:lineRule="auto"/>
        <w:rPr>
          <w:rFonts w:ascii="黑体" w:eastAsia="黑体"/>
          <w:b/>
          <w:sz w:val="36"/>
          <w:szCs w:val="24"/>
          <w:highlight w:val="none"/>
        </w:rPr>
      </w:pPr>
    </w:p>
    <w:p w14:paraId="0E12186F">
      <w:pPr>
        <w:spacing w:line="360" w:lineRule="auto"/>
        <w:rPr>
          <w:rFonts w:ascii="黑体" w:eastAsia="黑体"/>
          <w:b/>
          <w:sz w:val="36"/>
          <w:szCs w:val="24"/>
          <w:highlight w:val="none"/>
        </w:rPr>
      </w:pPr>
    </w:p>
    <w:p w14:paraId="2A118CE3">
      <w:pPr>
        <w:spacing w:line="360" w:lineRule="auto"/>
        <w:rPr>
          <w:rFonts w:ascii="黑体" w:eastAsia="黑体"/>
          <w:b/>
          <w:sz w:val="36"/>
          <w:szCs w:val="24"/>
          <w:highlight w:val="none"/>
        </w:rPr>
      </w:pPr>
    </w:p>
    <w:p w14:paraId="1C4D6A7E">
      <w:pPr>
        <w:spacing w:line="360" w:lineRule="auto"/>
        <w:rPr>
          <w:rFonts w:ascii="黑体" w:eastAsia="黑体"/>
          <w:b/>
          <w:sz w:val="36"/>
          <w:szCs w:val="24"/>
          <w:highlight w:val="none"/>
        </w:rPr>
      </w:pPr>
    </w:p>
    <w:p w14:paraId="4C268E7F">
      <w:pPr>
        <w:spacing w:line="360" w:lineRule="auto"/>
        <w:rPr>
          <w:rFonts w:ascii="黑体" w:eastAsia="黑体"/>
          <w:b/>
          <w:sz w:val="36"/>
          <w:szCs w:val="24"/>
          <w:highlight w:val="none"/>
        </w:rPr>
      </w:pPr>
    </w:p>
    <w:p w14:paraId="6A3A44CE">
      <w:pPr>
        <w:spacing w:line="360" w:lineRule="auto"/>
        <w:rPr>
          <w:rFonts w:ascii="黑体" w:eastAsia="黑体"/>
          <w:b/>
          <w:sz w:val="36"/>
          <w:szCs w:val="24"/>
          <w:highlight w:val="none"/>
        </w:rPr>
      </w:pPr>
    </w:p>
    <w:p w14:paraId="6E8DAF25">
      <w:pPr>
        <w:spacing w:line="360" w:lineRule="auto"/>
        <w:rPr>
          <w:rFonts w:ascii="黑体" w:eastAsia="黑体"/>
          <w:b/>
          <w:sz w:val="36"/>
          <w:szCs w:val="24"/>
          <w:highlight w:val="none"/>
        </w:rPr>
      </w:pPr>
    </w:p>
    <w:p w14:paraId="71D0EA76">
      <w:pPr>
        <w:spacing w:line="360" w:lineRule="auto"/>
        <w:rPr>
          <w:rFonts w:ascii="黑体" w:eastAsia="黑体"/>
          <w:b/>
          <w:sz w:val="36"/>
          <w:szCs w:val="24"/>
          <w:highlight w:val="none"/>
        </w:rPr>
      </w:pPr>
    </w:p>
    <w:p w14:paraId="2B0CA285">
      <w:pPr>
        <w:spacing w:line="360" w:lineRule="auto"/>
        <w:rPr>
          <w:rFonts w:ascii="黑体" w:eastAsia="黑体"/>
          <w:b/>
          <w:sz w:val="36"/>
          <w:szCs w:val="24"/>
          <w:highlight w:val="none"/>
        </w:rPr>
      </w:pPr>
    </w:p>
    <w:p w14:paraId="2ED0CF1E">
      <w:pPr>
        <w:pStyle w:val="8"/>
        <w:rPr>
          <w:rFonts w:ascii="黑体" w:eastAsia="黑体"/>
          <w:b/>
          <w:sz w:val="36"/>
          <w:szCs w:val="24"/>
          <w:highlight w:val="none"/>
        </w:rPr>
      </w:pPr>
    </w:p>
    <w:p w14:paraId="4E05C724">
      <w:pPr>
        <w:spacing w:line="360" w:lineRule="auto"/>
        <w:jc w:val="both"/>
        <w:rPr>
          <w:rFonts w:hint="eastAsia" w:ascii="黑体" w:hAnsi="仿宋_GB2312" w:eastAsia="黑体"/>
          <w:bCs/>
          <w:kern w:val="44"/>
          <w:sz w:val="32"/>
          <w:szCs w:val="32"/>
          <w:highlight w:val="none"/>
        </w:rPr>
      </w:pPr>
    </w:p>
    <w:p w14:paraId="33E716C2">
      <w:pPr>
        <w:spacing w:line="360" w:lineRule="auto"/>
        <w:jc w:val="center"/>
        <w:rPr>
          <w:rFonts w:ascii="黑体" w:hAnsi="仿宋_GB2312" w:eastAsia="黑体"/>
          <w:bCs/>
          <w:kern w:val="44"/>
          <w:sz w:val="32"/>
          <w:szCs w:val="32"/>
          <w:highlight w:val="none"/>
        </w:rPr>
      </w:pPr>
      <w:r>
        <w:rPr>
          <w:rFonts w:hint="eastAsia" w:ascii="黑体" w:hAnsi="仿宋_GB2312" w:eastAsia="黑体"/>
          <w:bCs/>
          <w:kern w:val="44"/>
          <w:sz w:val="32"/>
          <w:szCs w:val="32"/>
          <w:highlight w:val="none"/>
        </w:rPr>
        <w:t>五、谈判响应人廉洁承诺书</w:t>
      </w:r>
    </w:p>
    <w:p w14:paraId="3ACAF4A2">
      <w:pPr>
        <w:spacing w:line="510" w:lineRule="exact"/>
        <w:rPr>
          <w:rFonts w:ascii="宋体" w:hAnsi="宋体"/>
          <w:sz w:val="32"/>
          <w:szCs w:val="32"/>
          <w:highlight w:val="none"/>
        </w:rPr>
      </w:pPr>
      <w:r>
        <w:rPr>
          <w:rFonts w:hint="eastAsia" w:ascii="宋体" w:hAnsi="宋体"/>
          <w:sz w:val="32"/>
          <w:szCs w:val="32"/>
          <w:highlight w:val="none"/>
          <w:lang w:eastAsia="zh-CN"/>
        </w:rPr>
        <w:t>江苏煤炭地质勘探三队</w:t>
      </w:r>
      <w:r>
        <w:rPr>
          <w:rFonts w:hint="eastAsia" w:ascii="宋体" w:hAnsi="宋体"/>
          <w:sz w:val="32"/>
          <w:szCs w:val="32"/>
          <w:highlight w:val="none"/>
        </w:rPr>
        <w:t>：</w:t>
      </w:r>
    </w:p>
    <w:p w14:paraId="2A6541C7">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为维护公平竞争的市场秩序，我方自愿在参与贵方组织招 标采购（合作）等商业往来活动中，加强有关人员廉洁从业管 理，恪守商业道德，从源头预防和遏制违法、违规、违纪行为发生，特做出以下承诺：</w:t>
      </w:r>
    </w:p>
    <w:p w14:paraId="22323437">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一、严格遵守国家有关法律法规，坚持诚实守信原则，恪 守商业道德，规范商务人员廉洁从业行为。</w:t>
      </w:r>
    </w:p>
    <w:p w14:paraId="29051EDC">
      <w:pPr>
        <w:spacing w:line="510" w:lineRule="exact"/>
        <w:ind w:firstLine="420"/>
        <w:rPr>
          <w:rFonts w:ascii="宋体" w:hAnsi="宋体" w:cs="等线"/>
          <w:sz w:val="32"/>
          <w:szCs w:val="32"/>
          <w:highlight w:val="none"/>
        </w:rPr>
      </w:pPr>
      <w:r>
        <w:rPr>
          <w:rFonts w:hint="eastAsia" w:ascii="宋体" w:hAnsi="宋体" w:cs="等线"/>
          <w:sz w:val="32"/>
          <w:szCs w:val="32"/>
          <w:highlight w:val="none"/>
        </w:rPr>
        <w:t>二、决不伙同他人串标、围标或非法排挤竞争对手，决不 在商业活动中提供虚假资料，决不发生损害贵方合法权益等行 为，决不从事妨碍正常交易的其他违法行为。</w:t>
      </w:r>
    </w:p>
    <w:p w14:paraId="567B4776">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三、决不违规获取贵方保密商业活动涉及的所有相关信息，决不与贵方工作人员(含工作人员的配偶、子女及亲属等，下同) 合谋进行弄虚作假、串通采购等违规活动。</w:t>
      </w:r>
    </w:p>
    <w:p w14:paraId="025D2CB8">
      <w:pPr>
        <w:spacing w:line="510" w:lineRule="exact"/>
        <w:ind w:firstLine="420"/>
        <w:rPr>
          <w:rFonts w:ascii="宋体" w:hAnsi="宋体" w:cs="等线"/>
          <w:sz w:val="32"/>
          <w:szCs w:val="32"/>
          <w:highlight w:val="none"/>
        </w:rPr>
      </w:pPr>
      <w:r>
        <w:rPr>
          <w:rFonts w:hint="eastAsia" w:ascii="宋体" w:hAnsi="宋体" w:cs="等线"/>
          <w:sz w:val="32"/>
          <w:szCs w:val="32"/>
          <w:highlight w:val="none"/>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8EEA0CB">
      <w:pPr>
        <w:spacing w:line="510" w:lineRule="exact"/>
        <w:ind w:firstLine="420"/>
        <w:rPr>
          <w:rFonts w:ascii="宋体" w:hAnsi="宋体" w:cs="等线"/>
          <w:sz w:val="32"/>
          <w:szCs w:val="32"/>
          <w:highlight w:val="none"/>
        </w:rPr>
      </w:pPr>
      <w:r>
        <w:rPr>
          <w:rFonts w:hint="eastAsia" w:ascii="宋体" w:hAnsi="宋体" w:cs="等线"/>
          <w:sz w:val="32"/>
          <w:szCs w:val="32"/>
          <w:highlight w:val="none"/>
        </w:rPr>
        <w:t>五、决不为贵方工作人员提供和安排有可能影响公平、公 正交易的宴请、健身、度假、旅游、娱乐等活动。</w:t>
      </w:r>
    </w:p>
    <w:p w14:paraId="2F37D314">
      <w:pPr>
        <w:spacing w:line="510" w:lineRule="exact"/>
        <w:ind w:firstLine="420"/>
        <w:rPr>
          <w:rFonts w:ascii="宋体" w:hAnsi="宋体" w:cs="等线"/>
          <w:sz w:val="32"/>
          <w:szCs w:val="32"/>
          <w:highlight w:val="none"/>
        </w:rPr>
      </w:pPr>
      <w:r>
        <w:rPr>
          <w:rFonts w:hint="eastAsia" w:ascii="宋体" w:hAnsi="宋体" w:cs="等线"/>
          <w:sz w:val="32"/>
          <w:szCs w:val="32"/>
          <w:highlight w:val="none"/>
        </w:rPr>
        <w:t>六、决不为贵方工作人员投资入股、个人借款或买卖股票、 债券等提供方便。</w:t>
      </w:r>
    </w:p>
    <w:p w14:paraId="5C9F414D">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七、决不为贵方工作人员购买或装修住房、婚丧嫁娶、配 偶子女上学或工作安排以及出国出境、旅游等提供方便。</w:t>
      </w:r>
    </w:p>
    <w:p w14:paraId="4FF4F753">
      <w:pPr>
        <w:spacing w:line="510" w:lineRule="exact"/>
        <w:ind w:firstLine="420"/>
        <w:rPr>
          <w:rFonts w:ascii="宋体" w:hAnsi="宋体" w:cs="等线"/>
          <w:sz w:val="32"/>
          <w:szCs w:val="32"/>
          <w:highlight w:val="none"/>
        </w:rPr>
      </w:pPr>
      <w:r>
        <w:rPr>
          <w:rFonts w:hint="eastAsia" w:ascii="宋体" w:hAnsi="宋体" w:cs="等线"/>
          <w:sz w:val="32"/>
          <w:szCs w:val="32"/>
          <w:highlight w:val="none"/>
        </w:rPr>
        <w:t>八、决不违反规定为贵方工作人员在我方相关企业挂名兼 职、合伙经营、介绍承揽业务等提供方便。</w:t>
      </w:r>
    </w:p>
    <w:p w14:paraId="354A37E9">
      <w:pPr>
        <w:spacing w:line="510" w:lineRule="exact"/>
        <w:ind w:firstLine="420"/>
        <w:rPr>
          <w:rFonts w:ascii="宋体" w:hAnsi="宋体" w:cs="等线"/>
          <w:sz w:val="32"/>
          <w:szCs w:val="32"/>
          <w:highlight w:val="none"/>
        </w:rPr>
      </w:pPr>
      <w:r>
        <w:rPr>
          <w:rFonts w:hint="eastAsia" w:ascii="宋体" w:hAnsi="宋体" w:cs="等线"/>
          <w:sz w:val="32"/>
          <w:szCs w:val="32"/>
          <w:highlight w:val="none"/>
        </w:rPr>
        <w:t>九、贵方对涉嫌不廉洁的商业行为进行调查时，我方有配 合提供证据、作证的义务。</w:t>
      </w:r>
    </w:p>
    <w:p w14:paraId="210717EB">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十、未经贵方同意，我方不向任何新闻媒体、第三人述及 有关贵方工作人员恪守商业道德方面的评价、信息。</w:t>
      </w:r>
    </w:p>
    <w:p w14:paraId="3CFAC97E">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十一、我方承诺未被国家机关列入执行行贿人“黑名单” 或失信被执行人。</w:t>
      </w:r>
    </w:p>
    <w:p w14:paraId="0A67C01A">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十二、发现贵方工作人员有违反本承诺书行为或行为倾向 的，将及时提醒纠正并向贵方纪检监察部门举报，同时积极配 合贵方进行调查。</w:t>
      </w:r>
    </w:p>
    <w:p w14:paraId="48F80E59">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十三、本承诺书构成我方与贵方之间进行的所有商业活动所签订合同的不可分割的一部分，不因相关合同期限届满而终止。</w:t>
      </w:r>
    </w:p>
    <w:p w14:paraId="5F9E1D98">
      <w:pPr>
        <w:spacing w:line="510" w:lineRule="exact"/>
        <w:ind w:firstLine="420"/>
        <w:rPr>
          <w:rFonts w:ascii="宋体" w:hAnsi="宋体" w:cs="等线"/>
          <w:sz w:val="32"/>
          <w:szCs w:val="32"/>
          <w:highlight w:val="none"/>
        </w:rPr>
      </w:pPr>
      <w:r>
        <w:rPr>
          <w:rFonts w:hint="eastAsia" w:ascii="宋体" w:hAnsi="宋体" w:cs="等线"/>
          <w:sz w:val="32"/>
          <w:szCs w:val="32"/>
          <w:highlight w:val="none"/>
        </w:rPr>
        <w:t>我方自愿接受社会及贵方监督，如有违反本承诺，贵方有 权采取列入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谈判响应人黑名单。</w:t>
      </w:r>
    </w:p>
    <w:p w14:paraId="57C01333">
      <w:pPr>
        <w:spacing w:line="510" w:lineRule="exact"/>
        <w:ind w:firstLine="420"/>
        <w:rPr>
          <w:rFonts w:ascii="宋体" w:hAnsi="宋体" w:cs="等线"/>
          <w:sz w:val="32"/>
          <w:szCs w:val="32"/>
          <w:highlight w:val="none"/>
        </w:rPr>
      </w:pPr>
      <w:r>
        <w:rPr>
          <w:rFonts w:hint="eastAsia" w:ascii="宋体" w:hAnsi="宋体" w:cs="等线"/>
          <w:sz w:val="32"/>
          <w:szCs w:val="32"/>
          <w:highlight w:val="none"/>
        </w:rPr>
        <w:t xml:space="preserve"> 本承诺书一式两份，贵方和我方各持一份。</w:t>
      </w:r>
    </w:p>
    <w:p w14:paraId="7307B94A">
      <w:pPr>
        <w:spacing w:line="510" w:lineRule="exact"/>
        <w:ind w:firstLine="420"/>
        <w:rPr>
          <w:rFonts w:ascii="宋体" w:hAnsi="宋体" w:cs="等线"/>
          <w:sz w:val="32"/>
          <w:szCs w:val="32"/>
          <w:highlight w:val="none"/>
        </w:rPr>
      </w:pPr>
      <w:r>
        <w:rPr>
          <w:rFonts w:hint="eastAsia" w:ascii="宋体" w:hAnsi="宋体" w:cs="等线"/>
          <w:sz w:val="32"/>
          <w:szCs w:val="32"/>
          <w:highlight w:val="none"/>
        </w:rPr>
        <w:t>承诺方：（盖章）</w:t>
      </w:r>
    </w:p>
    <w:p w14:paraId="087640D6">
      <w:pPr>
        <w:spacing w:line="510" w:lineRule="exact"/>
        <w:ind w:firstLine="420"/>
        <w:rPr>
          <w:rFonts w:ascii="宋体" w:hAnsi="宋体" w:cs="等线"/>
          <w:sz w:val="32"/>
          <w:szCs w:val="32"/>
          <w:highlight w:val="none"/>
        </w:rPr>
      </w:pPr>
      <w:r>
        <w:rPr>
          <w:rFonts w:hint="eastAsia" w:ascii="宋体" w:hAnsi="宋体" w:cs="等线"/>
          <w:sz w:val="32"/>
          <w:szCs w:val="32"/>
          <w:highlight w:val="none"/>
        </w:rPr>
        <w:t>法定代表：（签字）</w:t>
      </w:r>
    </w:p>
    <w:p w14:paraId="66B95A43">
      <w:pPr>
        <w:spacing w:line="510" w:lineRule="exact"/>
        <w:ind w:firstLine="420"/>
        <w:rPr>
          <w:rFonts w:ascii="宋体" w:hAnsi="宋体" w:cs="等线"/>
          <w:sz w:val="32"/>
          <w:szCs w:val="32"/>
          <w:highlight w:val="none"/>
        </w:rPr>
      </w:pPr>
      <w:r>
        <w:rPr>
          <w:rFonts w:hint="eastAsia" w:ascii="宋体" w:hAnsi="宋体" w:cs="等线"/>
          <w:sz w:val="32"/>
          <w:szCs w:val="32"/>
          <w:highlight w:val="none"/>
        </w:rPr>
        <w:t>注册地址：</w:t>
      </w:r>
    </w:p>
    <w:p w14:paraId="6D9CC11B">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单位联系人：</w:t>
      </w:r>
    </w:p>
    <w:p w14:paraId="7E8EA3E8">
      <w:pPr>
        <w:spacing w:line="510" w:lineRule="exact"/>
        <w:ind w:firstLine="420"/>
        <w:rPr>
          <w:rFonts w:ascii="宋体" w:hAnsi="宋体" w:cs="等线"/>
          <w:sz w:val="32"/>
          <w:szCs w:val="32"/>
          <w:highlight w:val="none"/>
        </w:rPr>
      </w:pPr>
      <w:r>
        <w:rPr>
          <w:rFonts w:hint="eastAsia" w:ascii="宋体" w:hAnsi="宋体" w:cs="等线"/>
          <w:sz w:val="32"/>
          <w:szCs w:val="32"/>
          <w:highlight w:val="none"/>
        </w:rPr>
        <w:t>联系电话：</w:t>
      </w:r>
    </w:p>
    <w:p w14:paraId="0A6C89F5">
      <w:pPr>
        <w:spacing w:line="360" w:lineRule="auto"/>
        <w:jc w:val="left"/>
        <w:rPr>
          <w:rFonts w:ascii="黑体" w:hAnsi="仿宋_GB2312" w:eastAsia="黑体"/>
          <w:bCs/>
          <w:kern w:val="44"/>
          <w:sz w:val="32"/>
          <w:szCs w:val="32"/>
          <w:highlight w:val="none"/>
        </w:rPr>
      </w:pPr>
      <w:r>
        <w:rPr>
          <w:rFonts w:hint="eastAsia" w:ascii="等线" w:hAnsi="等线" w:cs="等线"/>
          <w:highlight w:val="none"/>
        </w:rPr>
        <w:br w:type="page"/>
      </w:r>
    </w:p>
    <w:p w14:paraId="3BDEFA12">
      <w:pPr>
        <w:spacing w:line="360" w:lineRule="auto"/>
        <w:jc w:val="center"/>
        <w:rPr>
          <w:rFonts w:ascii="黑体" w:hAnsi="仿宋_GB2312" w:eastAsia="黑体"/>
          <w:bCs/>
          <w:kern w:val="44"/>
          <w:sz w:val="32"/>
          <w:szCs w:val="32"/>
          <w:highlight w:val="none"/>
        </w:rPr>
      </w:pPr>
      <w:r>
        <w:rPr>
          <w:rFonts w:hint="eastAsia" w:ascii="黑体" w:hAnsi="仿宋_GB2312" w:eastAsia="黑体"/>
          <w:bCs/>
          <w:kern w:val="44"/>
          <w:sz w:val="32"/>
          <w:szCs w:val="32"/>
          <w:highlight w:val="none"/>
        </w:rPr>
        <w:t>六、近三年内在经营活动中无违法处罚记录承诺书</w:t>
      </w:r>
    </w:p>
    <w:p w14:paraId="553B7177">
      <w:pPr>
        <w:spacing w:line="360" w:lineRule="auto"/>
        <w:ind w:firstLine="420"/>
        <w:rPr>
          <w:rFonts w:ascii="黑体" w:hAnsi="仿宋_GB2312" w:eastAsia="黑体"/>
          <w:b/>
          <w:bCs/>
          <w:kern w:val="44"/>
          <w:sz w:val="32"/>
          <w:szCs w:val="32"/>
          <w:highlight w:val="none"/>
        </w:rPr>
      </w:pPr>
    </w:p>
    <w:p w14:paraId="3402099E">
      <w:pPr>
        <w:spacing w:line="360" w:lineRule="auto"/>
        <w:ind w:firstLine="640" w:firstLineChars="200"/>
        <w:rPr>
          <w:rFonts w:ascii="宋体" w:hAnsi="宋体" w:cs="宋体"/>
          <w:sz w:val="32"/>
          <w:szCs w:val="32"/>
          <w:highlight w:val="none"/>
        </w:rPr>
      </w:pPr>
      <w:r>
        <w:rPr>
          <w:rFonts w:hint="eastAsia"/>
          <w:sz w:val="32"/>
          <w:szCs w:val="32"/>
          <w:highlight w:val="none"/>
        </w:rPr>
        <w:t>我</w:t>
      </w:r>
      <w:r>
        <w:rPr>
          <w:rFonts w:hint="eastAsia" w:ascii="宋体" w:hAnsi="宋体"/>
          <w:bCs/>
          <w:sz w:val="32"/>
          <w:szCs w:val="32"/>
          <w:highlight w:val="none"/>
        </w:rPr>
        <w:t>公司参加</w:t>
      </w:r>
      <w:r>
        <w:rPr>
          <w:rFonts w:hint="eastAsia" w:ascii="宋体" w:hAnsi="宋体"/>
          <w:bCs/>
          <w:sz w:val="32"/>
          <w:szCs w:val="32"/>
          <w:highlight w:val="none"/>
          <w:u w:val="single"/>
        </w:rPr>
        <w:t xml:space="preserve">                </w:t>
      </w:r>
      <w:r>
        <w:rPr>
          <w:rFonts w:hint="eastAsia" w:ascii="宋体" w:hAnsi="宋体"/>
          <w:bCs/>
          <w:sz w:val="32"/>
          <w:szCs w:val="32"/>
          <w:highlight w:val="none"/>
        </w:rPr>
        <w:t>项目谈判，</w:t>
      </w:r>
      <w:r>
        <w:rPr>
          <w:rFonts w:hint="eastAsia" w:ascii="宋体" w:hAnsi="宋体" w:cs="宋体"/>
          <w:sz w:val="32"/>
          <w:szCs w:val="32"/>
          <w:highlight w:val="none"/>
        </w:rPr>
        <w:t>自202</w:t>
      </w:r>
      <w:r>
        <w:rPr>
          <w:rFonts w:hint="eastAsia" w:ascii="宋体" w:hAnsi="宋体" w:cs="宋体"/>
          <w:sz w:val="32"/>
          <w:szCs w:val="32"/>
          <w:highlight w:val="none"/>
          <w:lang w:val="en-US" w:eastAsia="zh-CN"/>
        </w:rPr>
        <w:t>3</w:t>
      </w:r>
      <w:r>
        <w:rPr>
          <w:rFonts w:hint="eastAsia" w:ascii="宋体" w:hAnsi="宋体" w:cs="宋体"/>
          <w:sz w:val="32"/>
          <w:szCs w:val="32"/>
          <w:highlight w:val="none"/>
        </w:rPr>
        <w:t>年1月1日至今，我公司法人、法定代表人、项目经理无行贿犯罪，特此承诺并函告。</w:t>
      </w:r>
    </w:p>
    <w:p w14:paraId="2A038AD6">
      <w:pPr>
        <w:spacing w:line="360" w:lineRule="auto"/>
        <w:ind w:firstLine="640" w:firstLineChars="200"/>
        <w:rPr>
          <w:rFonts w:ascii="宋体" w:hAnsi="宋体" w:cs="宋体"/>
          <w:sz w:val="32"/>
          <w:szCs w:val="32"/>
          <w:highlight w:val="none"/>
        </w:rPr>
      </w:pPr>
      <w:r>
        <w:rPr>
          <w:rFonts w:hint="eastAsia" w:ascii="宋体" w:hAnsi="宋体" w:cs="宋体"/>
          <w:sz w:val="32"/>
          <w:szCs w:val="32"/>
          <w:highlight w:val="none"/>
        </w:rPr>
        <w:t>本函自签署之日起生效，如我公司承诺的内容不属实，采购人有权取消我单位的谈判成交资格或解除合同，给贵单位造成实际损失，我公司将承担相应的法律责任。</w:t>
      </w:r>
    </w:p>
    <w:p w14:paraId="7CAD7B08">
      <w:pPr>
        <w:pStyle w:val="20"/>
        <w:rPr>
          <w:rFonts w:cs="宋体"/>
          <w:color w:val="auto"/>
          <w:sz w:val="32"/>
          <w:szCs w:val="32"/>
          <w:highlight w:val="none"/>
        </w:rPr>
      </w:pPr>
    </w:p>
    <w:p w14:paraId="7E76AF0C">
      <w:pPr>
        <w:pStyle w:val="20"/>
        <w:rPr>
          <w:rFonts w:cs="宋体"/>
          <w:color w:val="auto"/>
          <w:sz w:val="32"/>
          <w:szCs w:val="32"/>
          <w:highlight w:val="none"/>
        </w:rPr>
      </w:pPr>
    </w:p>
    <w:p w14:paraId="24177E68">
      <w:pPr>
        <w:pStyle w:val="20"/>
        <w:ind w:firstLine="3404" w:firstLineChars="1064"/>
        <w:jc w:val="right"/>
        <w:rPr>
          <w:rFonts w:cs="宋体"/>
          <w:color w:val="auto"/>
          <w:sz w:val="32"/>
          <w:szCs w:val="32"/>
          <w:highlight w:val="none"/>
        </w:rPr>
      </w:pPr>
      <w:r>
        <w:rPr>
          <w:rFonts w:hint="eastAsia" w:cs="宋体"/>
          <w:color w:val="auto"/>
          <w:sz w:val="32"/>
          <w:szCs w:val="32"/>
          <w:highlight w:val="none"/>
        </w:rPr>
        <w:t>单位负责人签字：</w:t>
      </w:r>
    </w:p>
    <w:p w14:paraId="3160A7E8">
      <w:pPr>
        <w:pStyle w:val="20"/>
        <w:ind w:firstLine="6278" w:firstLineChars="1962"/>
        <w:jc w:val="right"/>
        <w:rPr>
          <w:rFonts w:cs="宋体"/>
          <w:color w:val="auto"/>
          <w:sz w:val="32"/>
          <w:szCs w:val="32"/>
          <w:highlight w:val="none"/>
        </w:rPr>
      </w:pPr>
      <w:r>
        <w:rPr>
          <w:rFonts w:hint="eastAsia" w:cs="宋体"/>
          <w:color w:val="auto"/>
          <w:sz w:val="32"/>
          <w:szCs w:val="32"/>
          <w:highlight w:val="none"/>
        </w:rPr>
        <w:t>公司盖章：</w:t>
      </w:r>
    </w:p>
    <w:p w14:paraId="2A58F16C">
      <w:pPr>
        <w:pStyle w:val="20"/>
        <w:ind w:firstLine="3404" w:firstLineChars="1064"/>
        <w:jc w:val="right"/>
        <w:rPr>
          <w:rFonts w:cs="宋体"/>
          <w:color w:val="auto"/>
          <w:sz w:val="32"/>
          <w:szCs w:val="32"/>
          <w:highlight w:val="none"/>
        </w:rPr>
      </w:pPr>
      <w:r>
        <w:rPr>
          <w:rFonts w:hint="eastAsia" w:cs="宋体"/>
          <w:color w:val="auto"/>
          <w:sz w:val="32"/>
          <w:szCs w:val="32"/>
          <w:highlight w:val="none"/>
        </w:rPr>
        <w:t>日期：</w:t>
      </w:r>
    </w:p>
    <w:p w14:paraId="4AC7F7D5">
      <w:pPr>
        <w:pStyle w:val="8"/>
        <w:jc w:val="right"/>
        <w:rPr>
          <w:rFonts w:ascii="黑体" w:hAnsi="仿宋_GB2312" w:eastAsia="黑体"/>
          <w:b/>
          <w:bCs/>
          <w:kern w:val="44"/>
          <w:sz w:val="32"/>
          <w:szCs w:val="32"/>
          <w:highlight w:val="none"/>
        </w:rPr>
      </w:pPr>
    </w:p>
    <w:p w14:paraId="43071944">
      <w:pPr>
        <w:rPr>
          <w:rFonts w:ascii="黑体" w:hAnsi="仿宋_GB2312" w:eastAsia="黑体"/>
          <w:b/>
          <w:bCs/>
          <w:kern w:val="44"/>
          <w:sz w:val="32"/>
          <w:szCs w:val="32"/>
          <w:highlight w:val="none"/>
        </w:rPr>
      </w:pPr>
    </w:p>
    <w:p w14:paraId="4704F2F0">
      <w:pPr>
        <w:pStyle w:val="8"/>
        <w:rPr>
          <w:rFonts w:ascii="黑体" w:hAnsi="仿宋_GB2312" w:eastAsia="黑体"/>
          <w:b/>
          <w:bCs/>
          <w:kern w:val="44"/>
          <w:sz w:val="32"/>
          <w:szCs w:val="32"/>
          <w:highlight w:val="none"/>
        </w:rPr>
      </w:pPr>
    </w:p>
    <w:p w14:paraId="4E7C91E4">
      <w:pPr>
        <w:rPr>
          <w:rFonts w:ascii="黑体" w:hAnsi="仿宋_GB2312" w:eastAsia="黑体"/>
          <w:b/>
          <w:bCs/>
          <w:kern w:val="44"/>
          <w:sz w:val="32"/>
          <w:szCs w:val="32"/>
          <w:highlight w:val="none"/>
        </w:rPr>
      </w:pPr>
    </w:p>
    <w:p w14:paraId="377C8300">
      <w:pPr>
        <w:pStyle w:val="8"/>
        <w:rPr>
          <w:rFonts w:ascii="黑体" w:hAnsi="仿宋_GB2312" w:eastAsia="黑体"/>
          <w:b/>
          <w:bCs/>
          <w:kern w:val="44"/>
          <w:sz w:val="32"/>
          <w:szCs w:val="32"/>
          <w:highlight w:val="none"/>
        </w:rPr>
      </w:pPr>
    </w:p>
    <w:p w14:paraId="7B3D1E72">
      <w:pPr>
        <w:rPr>
          <w:rFonts w:ascii="黑体" w:hAnsi="仿宋_GB2312" w:eastAsia="黑体"/>
          <w:b/>
          <w:bCs/>
          <w:kern w:val="44"/>
          <w:sz w:val="32"/>
          <w:szCs w:val="32"/>
          <w:highlight w:val="none"/>
        </w:rPr>
      </w:pPr>
    </w:p>
    <w:p w14:paraId="4ED73F41">
      <w:pPr>
        <w:pStyle w:val="8"/>
        <w:rPr>
          <w:rFonts w:ascii="黑体" w:hAnsi="仿宋_GB2312" w:eastAsia="黑体"/>
          <w:b/>
          <w:bCs/>
          <w:kern w:val="44"/>
          <w:sz w:val="32"/>
          <w:szCs w:val="32"/>
          <w:highlight w:val="none"/>
        </w:rPr>
      </w:pPr>
    </w:p>
    <w:p w14:paraId="45491F19">
      <w:pPr>
        <w:rPr>
          <w:rFonts w:ascii="黑体" w:hAnsi="仿宋_GB2312" w:eastAsia="黑体"/>
          <w:b/>
          <w:bCs/>
          <w:kern w:val="44"/>
          <w:sz w:val="32"/>
          <w:szCs w:val="32"/>
          <w:highlight w:val="none"/>
        </w:rPr>
      </w:pPr>
    </w:p>
    <w:p w14:paraId="7A1904A5">
      <w:pPr>
        <w:rPr>
          <w:rFonts w:ascii="黑体" w:hAnsi="仿宋_GB2312" w:eastAsia="黑体"/>
          <w:b/>
          <w:bCs/>
          <w:kern w:val="44"/>
          <w:sz w:val="32"/>
          <w:szCs w:val="32"/>
          <w:highlight w:val="none"/>
        </w:rPr>
      </w:pPr>
      <w:r>
        <w:rPr>
          <w:rFonts w:hint="eastAsia" w:ascii="黑体" w:hAnsi="仿宋_GB2312" w:eastAsia="黑体"/>
          <w:b/>
          <w:bCs/>
          <w:kern w:val="44"/>
          <w:sz w:val="32"/>
          <w:szCs w:val="32"/>
          <w:highlight w:val="none"/>
        </w:rPr>
        <w:br w:type="page"/>
      </w:r>
    </w:p>
    <w:p w14:paraId="5AB449F9">
      <w:pPr>
        <w:numPr>
          <w:ilvl w:val="0"/>
          <w:numId w:val="1"/>
        </w:numPr>
        <w:spacing w:line="360" w:lineRule="auto"/>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征信报告</w:t>
      </w:r>
    </w:p>
    <w:p w14:paraId="2399E18F">
      <w:pPr>
        <w:numPr>
          <w:ilvl w:val="0"/>
          <w:numId w:val="1"/>
        </w:numPr>
        <w:spacing w:line="360" w:lineRule="auto"/>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br w:type="page"/>
      </w:r>
    </w:p>
    <w:p w14:paraId="728775C3">
      <w:pPr>
        <w:numPr>
          <w:ilvl w:val="0"/>
          <w:numId w:val="0"/>
        </w:numPr>
        <w:spacing w:line="360" w:lineRule="auto"/>
        <w:ind w:leftChars="0"/>
        <w:jc w:val="center"/>
        <w:rPr>
          <w:rFonts w:hint="eastAsia" w:ascii="黑体" w:hAnsi="仿宋_GB2312" w:eastAsia="黑体"/>
          <w:bCs/>
          <w:kern w:val="44"/>
          <w:sz w:val="32"/>
          <w:szCs w:val="32"/>
          <w:highlight w:val="none"/>
        </w:rPr>
      </w:pPr>
      <w:r>
        <w:rPr>
          <w:rFonts w:hint="eastAsia" w:ascii="黑体" w:hAnsi="仿宋_GB2312" w:eastAsia="黑体"/>
          <w:bCs/>
          <w:kern w:val="44"/>
          <w:sz w:val="32"/>
          <w:szCs w:val="32"/>
          <w:highlight w:val="none"/>
          <w:lang w:val="en-US" w:eastAsia="zh-CN"/>
        </w:rPr>
        <w:t>八、</w:t>
      </w:r>
      <w:r>
        <w:rPr>
          <w:rFonts w:hint="eastAsia" w:ascii="黑体" w:hAnsi="仿宋_GB2312" w:eastAsia="黑体"/>
          <w:bCs/>
          <w:kern w:val="44"/>
          <w:sz w:val="32"/>
          <w:szCs w:val="32"/>
          <w:highlight w:val="none"/>
        </w:rPr>
        <w:t>业绩（附合同扫描件）</w:t>
      </w:r>
    </w:p>
    <w:p w14:paraId="2AFB52B1">
      <w:pPr>
        <w:pStyle w:val="11"/>
        <w:widowControl w:val="0"/>
        <w:numPr>
          <w:ilvl w:val="0"/>
          <w:numId w:val="0"/>
        </w:numPr>
        <w:spacing w:after="120"/>
        <w:jc w:val="both"/>
        <w:rPr>
          <w:highlight w:val="none"/>
        </w:rPr>
      </w:pPr>
    </w:p>
    <w:p w14:paraId="159B6B5F">
      <w:pPr>
        <w:pStyle w:val="19"/>
        <w:spacing w:line="560" w:lineRule="exact"/>
        <w:jc w:val="center"/>
        <w:rPr>
          <w:highlight w:val="none"/>
        </w:rPr>
      </w:pPr>
      <w:r>
        <w:rPr>
          <w:rFonts w:hint="eastAsia" w:ascii="黑体" w:hAnsi="仿宋_GB2312" w:eastAsia="黑体"/>
          <w:bCs/>
          <w:color w:val="000000"/>
          <w:kern w:val="44"/>
          <w:sz w:val="32"/>
          <w:szCs w:val="32"/>
          <w:highlight w:val="none"/>
          <w:lang w:val="en-US" w:eastAsia="zh-CN"/>
        </w:rPr>
        <w:br w:type="page"/>
      </w:r>
    </w:p>
    <w:p w14:paraId="51268B2A">
      <w:pPr>
        <w:jc w:val="center"/>
        <w:rPr>
          <w:rFonts w:ascii="黑体" w:hAnsi="仿宋_GB2312" w:eastAsia="黑体"/>
          <w:bCs/>
          <w:kern w:val="44"/>
          <w:sz w:val="32"/>
          <w:szCs w:val="32"/>
          <w:highlight w:val="none"/>
        </w:rPr>
      </w:pPr>
      <w:r>
        <w:rPr>
          <w:rFonts w:hint="eastAsia" w:ascii="黑体" w:hAnsi="仿宋_GB2312" w:eastAsia="黑体"/>
          <w:bCs/>
          <w:kern w:val="44"/>
          <w:sz w:val="32"/>
          <w:szCs w:val="32"/>
          <w:highlight w:val="none"/>
          <w:lang w:val="en-US" w:eastAsia="zh-CN"/>
        </w:rPr>
        <w:t>九、</w:t>
      </w:r>
      <w:r>
        <w:rPr>
          <w:rFonts w:hint="eastAsia" w:ascii="黑体" w:hAnsi="仿宋_GB2312" w:eastAsia="黑体"/>
          <w:bCs/>
          <w:kern w:val="44"/>
          <w:sz w:val="32"/>
          <w:szCs w:val="32"/>
          <w:highlight w:val="none"/>
        </w:rPr>
        <w:t>营业执照等资质证书材料（谈判响应人具有的资质都需要提供）</w:t>
      </w:r>
    </w:p>
    <w:p w14:paraId="23494A63">
      <w:pPr>
        <w:pStyle w:val="19"/>
        <w:spacing w:line="560" w:lineRule="exact"/>
        <w:rPr>
          <w:rFonts w:hint="eastAsia" w:ascii="方正仿宋_GB2312" w:hAnsi="方正仿宋_GB2312" w:eastAsia="方正仿宋_GB2312" w:cs="方正仿宋_GB2312"/>
          <w:sz w:val="32"/>
          <w:szCs w:val="32"/>
          <w:highlight w:val="none"/>
        </w:rPr>
      </w:pPr>
    </w:p>
    <w:p w14:paraId="1DE66472">
      <w:pPr>
        <w:pStyle w:val="19"/>
        <w:spacing w:line="56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1、营业执照的复印件</w:t>
      </w:r>
    </w:p>
    <w:p w14:paraId="17EF74A1">
      <w:pPr>
        <w:pStyle w:val="19"/>
        <w:spacing w:line="56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2、其他资格证明文件。</w:t>
      </w:r>
    </w:p>
    <w:p w14:paraId="24C8B0C7">
      <w:pPr>
        <w:pStyle w:val="7"/>
        <w:rPr>
          <w:highlight w:val="none"/>
        </w:rPr>
      </w:pPr>
    </w:p>
    <w:p w14:paraId="5F5D1B73">
      <w:pPr>
        <w:rPr>
          <w:highlight w:val="none"/>
        </w:rPr>
      </w:pPr>
    </w:p>
    <w:p w14:paraId="4AD901E6">
      <w:pPr>
        <w:pStyle w:val="7"/>
        <w:rPr>
          <w:highlight w:val="none"/>
        </w:rPr>
      </w:pPr>
    </w:p>
    <w:p w14:paraId="443A1D33">
      <w:pPr>
        <w:rPr>
          <w:highlight w:val="none"/>
        </w:rPr>
      </w:pPr>
    </w:p>
    <w:p w14:paraId="00A12B04">
      <w:pPr>
        <w:pStyle w:val="7"/>
        <w:rPr>
          <w:highlight w:val="none"/>
        </w:rPr>
      </w:pPr>
    </w:p>
    <w:p w14:paraId="44693711">
      <w:pPr>
        <w:rPr>
          <w:highlight w:val="none"/>
        </w:rPr>
      </w:pPr>
    </w:p>
    <w:p w14:paraId="3E3190CB">
      <w:pPr>
        <w:pStyle w:val="7"/>
        <w:rPr>
          <w:highlight w:val="none"/>
        </w:rPr>
      </w:pPr>
    </w:p>
    <w:p w14:paraId="2572B90C">
      <w:pPr>
        <w:rPr>
          <w:highlight w:val="none"/>
        </w:rPr>
      </w:pPr>
    </w:p>
    <w:p w14:paraId="114A6AA3">
      <w:pPr>
        <w:pStyle w:val="7"/>
        <w:rPr>
          <w:highlight w:val="none"/>
        </w:rPr>
      </w:pPr>
    </w:p>
    <w:p w14:paraId="2801E5BE">
      <w:pPr>
        <w:rPr>
          <w:highlight w:val="none"/>
        </w:rPr>
      </w:pPr>
    </w:p>
    <w:p w14:paraId="19E1572C">
      <w:pPr>
        <w:pStyle w:val="7"/>
        <w:rPr>
          <w:highlight w:val="none"/>
        </w:rPr>
      </w:pPr>
    </w:p>
    <w:p w14:paraId="4F43B67F">
      <w:pPr>
        <w:rPr>
          <w:highlight w:val="none"/>
        </w:rPr>
      </w:pPr>
    </w:p>
    <w:p w14:paraId="55AD8E99">
      <w:pPr>
        <w:pStyle w:val="7"/>
        <w:rPr>
          <w:highlight w:val="none"/>
        </w:rPr>
      </w:pPr>
    </w:p>
    <w:p w14:paraId="71602FBA">
      <w:pPr>
        <w:spacing w:line="360" w:lineRule="auto"/>
        <w:rPr>
          <w:rFonts w:ascii="黑体" w:hAnsi="仿宋_GB2312" w:eastAsia="黑体"/>
          <w:bCs/>
          <w:kern w:val="44"/>
          <w:sz w:val="32"/>
          <w:szCs w:val="32"/>
          <w:highlight w:val="none"/>
        </w:rPr>
      </w:pPr>
    </w:p>
    <w:p w14:paraId="2CEFDE20">
      <w:pPr>
        <w:pStyle w:val="7"/>
        <w:rPr>
          <w:rFonts w:ascii="黑体" w:hAnsi="仿宋_GB2312" w:eastAsia="黑体"/>
          <w:bCs/>
          <w:kern w:val="44"/>
          <w:sz w:val="32"/>
          <w:szCs w:val="32"/>
          <w:highlight w:val="none"/>
        </w:rPr>
      </w:pPr>
    </w:p>
    <w:p w14:paraId="465FE7BE">
      <w:pPr>
        <w:rPr>
          <w:rFonts w:ascii="黑体" w:hAnsi="仿宋_GB2312" w:eastAsia="黑体"/>
          <w:bCs/>
          <w:kern w:val="44"/>
          <w:sz w:val="32"/>
          <w:szCs w:val="32"/>
          <w:highlight w:val="none"/>
        </w:rPr>
      </w:pPr>
    </w:p>
    <w:p w14:paraId="45EAD68A">
      <w:pPr>
        <w:pStyle w:val="7"/>
        <w:rPr>
          <w:rFonts w:ascii="黑体" w:hAnsi="仿宋_GB2312" w:eastAsia="黑体"/>
          <w:bCs/>
          <w:kern w:val="44"/>
          <w:sz w:val="32"/>
          <w:szCs w:val="32"/>
          <w:highlight w:val="none"/>
        </w:rPr>
      </w:pPr>
    </w:p>
    <w:p w14:paraId="10BE7502">
      <w:pPr>
        <w:rPr>
          <w:rFonts w:ascii="黑体" w:hAnsi="仿宋_GB2312" w:eastAsia="黑体"/>
          <w:bCs/>
          <w:kern w:val="44"/>
          <w:sz w:val="32"/>
          <w:szCs w:val="32"/>
          <w:highlight w:val="none"/>
        </w:rPr>
      </w:pPr>
    </w:p>
    <w:p w14:paraId="7D8C7E3F">
      <w:pPr>
        <w:rPr>
          <w:highlight w:val="none"/>
        </w:rPr>
      </w:pPr>
    </w:p>
    <w:p w14:paraId="5175EE79">
      <w:pPr>
        <w:spacing w:line="360" w:lineRule="auto"/>
        <w:jc w:val="center"/>
        <w:rPr>
          <w:rFonts w:ascii="黑体" w:hAnsi="仿宋_GB2312" w:eastAsia="黑体"/>
          <w:bCs/>
          <w:kern w:val="44"/>
          <w:sz w:val="32"/>
          <w:szCs w:val="32"/>
          <w:highlight w:val="none"/>
        </w:rPr>
      </w:pPr>
    </w:p>
    <w:p w14:paraId="6CF75202">
      <w:pPr>
        <w:rPr>
          <w:highlight w:val="none"/>
        </w:rPr>
      </w:pPr>
    </w:p>
    <w:p w14:paraId="020D4C7A">
      <w:pPr>
        <w:rPr>
          <w:highlight w:val="none"/>
        </w:rPr>
      </w:pPr>
    </w:p>
    <w:p w14:paraId="47A66D06">
      <w:pPr>
        <w:rPr>
          <w:highlight w:val="non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CCFB77-C254-43F9-8E40-0CAB5E012D08}"/>
  </w:font>
  <w:font w:name="黑体">
    <w:panose1 w:val="02010609060101010101"/>
    <w:charset w:val="86"/>
    <w:family w:val="auto"/>
    <w:pitch w:val="default"/>
    <w:sig w:usb0="800002BF" w:usb1="38CF7CFA" w:usb2="00000016" w:usb3="00000000" w:csb0="00040001" w:csb1="00000000"/>
    <w:embedRegular r:id="rId2" w:fontKey="{249ED6CE-0811-48F3-A1A5-C80D96701F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Segoe Print"/>
    <w:panose1 w:val="00000000000000000000"/>
    <w:charset w:val="00"/>
    <w:family w:val="auto"/>
    <w:pitch w:val="default"/>
    <w:sig w:usb0="00000000" w:usb1="00000000" w:usb2="00000000" w:usb3="00000000" w:csb0="00040001" w:csb1="00000000"/>
    <w:embedRegular r:id="rId3" w:fontKey="{0AE6C0F2-A862-4242-81C7-06A0355C56EE}"/>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4" w:fontKey="{47ACED8B-A7C1-410D-A784-2F478052CA9F}"/>
  </w:font>
  <w:font w:name="Arial Unicode MS">
    <w:panose1 w:val="020B0604020202020204"/>
    <w:charset w:val="86"/>
    <w:family w:val="auto"/>
    <w:pitch w:val="default"/>
    <w:sig w:usb0="FFFFFFFF" w:usb1="E9FFFFFF" w:usb2="0000003F" w:usb3="00000000" w:csb0="603F01FF" w:csb1="FFFF0000"/>
    <w:embedRegular r:id="rId5" w:fontKey="{6EF4CE8E-53DA-4EBE-A560-738624BF9287}"/>
  </w:font>
  <w:font w:name="Cambria">
    <w:panose1 w:val="02040503050406030204"/>
    <w:charset w:val="00"/>
    <w:family w:val="roman"/>
    <w:pitch w:val="default"/>
    <w:sig w:usb0="E00006FF" w:usb1="420024FF" w:usb2="02000000" w:usb3="00000000" w:csb0="2000019F" w:csb1="00000000"/>
    <w:embedRegular r:id="rId6" w:fontKey="{02D4EF13-9FEB-43AD-AF22-19D17A4D9680}"/>
  </w:font>
  <w:font w:name="楷体">
    <w:panose1 w:val="02010609060101010101"/>
    <w:charset w:val="86"/>
    <w:family w:val="modern"/>
    <w:pitch w:val="default"/>
    <w:sig w:usb0="800002BF" w:usb1="38CF7CFA" w:usb2="00000016" w:usb3="00000000" w:csb0="00040001" w:csb1="00000000"/>
    <w:embedRegular r:id="rId7" w:fontKey="{5576D609-FBC8-448D-BDCC-8AAE414DEDD9}"/>
  </w:font>
  <w:font w:name="仿宋">
    <w:panose1 w:val="02010609060101010101"/>
    <w:charset w:val="86"/>
    <w:family w:val="modern"/>
    <w:pitch w:val="default"/>
    <w:sig w:usb0="800002BF" w:usb1="38CF7CFA" w:usb2="00000016" w:usb3="00000000" w:csb0="00040001" w:csb1="00000000"/>
    <w:embedRegular r:id="rId8" w:fontKey="{F994CD62-A2CA-4A80-A48E-F033C79E998A}"/>
  </w:font>
  <w:font w:name="等线">
    <w:panose1 w:val="02010600030101010101"/>
    <w:charset w:val="86"/>
    <w:family w:val="auto"/>
    <w:pitch w:val="default"/>
    <w:sig w:usb0="A00002BF" w:usb1="38CF7CFA" w:usb2="00000016" w:usb3="00000000" w:csb0="0004000F" w:csb1="00000000"/>
    <w:embedRegular r:id="rId9" w:fontKey="{BF01FE82-1702-4C81-9E45-7FBE0C4D60B9}"/>
  </w:font>
  <w:font w:name="方正仿宋_GB2312">
    <w:panose1 w:val="02000000000000000000"/>
    <w:charset w:val="86"/>
    <w:family w:val="auto"/>
    <w:pitch w:val="default"/>
    <w:sig w:usb0="A00002BF" w:usb1="184F6CFA" w:usb2="00000012" w:usb3="00000000" w:csb0="00040001" w:csb1="00000000"/>
    <w:embedRegular r:id="rId10" w:fontKey="{BDB0B730-ADF0-4FEA-8DEF-3E51066A9E95}"/>
  </w:font>
  <w:font w:name="WPSEMBED1">
    <w:panose1 w:val="020B0604020202020204"/>
    <w:charset w:val="86"/>
    <w:family w:val="auto"/>
    <w:pitch w:val="default"/>
    <w:sig w:usb0="FFFFFFFF" w:usb1="E9FFFFFF" w:usb2="0000003F" w:usb3="00000000" w:csb0="603F01FF" w:csb1="FFFF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63E5">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03037F">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5303037F">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8810F">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3869BE">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43869BE">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C4D9B"/>
    <w:multiLevelType w:val="singleLevel"/>
    <w:tmpl w:val="5CDC4D9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B2D51"/>
    <w:rsid w:val="0DAF34AD"/>
    <w:rsid w:val="1CAD4CD0"/>
    <w:rsid w:val="258919E4"/>
    <w:rsid w:val="30565B18"/>
    <w:rsid w:val="32270CAE"/>
    <w:rsid w:val="398E27DB"/>
    <w:rsid w:val="426D589B"/>
    <w:rsid w:val="43DF6D33"/>
    <w:rsid w:val="55A65DB5"/>
    <w:rsid w:val="56FD2E0F"/>
    <w:rsid w:val="58782001"/>
    <w:rsid w:val="6A3D79CF"/>
    <w:rsid w:val="6E584699"/>
    <w:rsid w:val="7D3B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2"/>
    <w:basedOn w:val="1"/>
    <w:qFormat/>
    <w:uiPriority w:val="0"/>
    <w:pPr>
      <w:spacing w:after="120" w:line="480" w:lineRule="auto"/>
      <w:ind w:left="420" w:firstLine="539"/>
    </w:pPr>
    <w:rPr>
      <w:sz w:val="2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List"/>
    <w:basedOn w:val="1"/>
    <w:unhideWhenUsed/>
    <w:qFormat/>
    <w:uiPriority w:val="99"/>
    <w:pPr>
      <w:contextualSpacing/>
      <w:jc w:val="center"/>
    </w:pPr>
    <w:rPr>
      <w:b/>
      <w:sz w:val="24"/>
    </w:rPr>
  </w:style>
  <w:style w:type="paragraph" w:styleId="7">
    <w:name w:val="table of figures"/>
    <w:basedOn w:val="1"/>
    <w:next w:val="1"/>
    <w:qFormat/>
    <w:uiPriority w:val="0"/>
    <w:pPr>
      <w:ind w:left="420" w:hanging="420"/>
      <w:jc w:val="left"/>
    </w:pPr>
    <w:rPr>
      <w:smallCaps/>
      <w:sz w:val="20"/>
    </w:rPr>
  </w:style>
  <w:style w:type="paragraph" w:styleId="8">
    <w:name w:val="toc 2"/>
    <w:basedOn w:val="1"/>
    <w:next w:val="1"/>
    <w:qFormat/>
    <w:uiPriority w:val="39"/>
    <w:pPr>
      <w:tabs>
        <w:tab w:val="left" w:pos="1050"/>
        <w:tab w:val="right" w:leader="dot" w:pos="9020"/>
      </w:tabs>
      <w:spacing w:line="300" w:lineRule="auto"/>
      <w:ind w:left="420" w:leftChars="200"/>
    </w:pPr>
  </w:style>
  <w:style w:type="paragraph" w:styleId="9">
    <w:name w:val="Body Text 2"/>
    <w:basedOn w:val="1"/>
    <w:qFormat/>
    <w:uiPriority w:val="0"/>
    <w:rPr>
      <w:color w:val="FF0000"/>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2"/>
    <w:qFormat/>
    <w:uiPriority w:val="0"/>
    <w:pPr>
      <w:ind w:firstLine="420"/>
    </w:pPr>
    <w:rPr>
      <w:sz w:val="32"/>
    </w:rPr>
  </w:style>
  <w:style w:type="character" w:styleId="14">
    <w:name w:val="page number"/>
    <w:qFormat/>
    <w:uiPriority w:val="0"/>
  </w:style>
  <w:style w:type="paragraph" w:customStyle="1" w:styleId="15">
    <w:name w:val="Table Heading"/>
    <w:basedOn w:val="16"/>
    <w:qFormat/>
    <w:uiPriority w:val="0"/>
    <w:pPr>
      <w:autoSpaceDE/>
      <w:autoSpaceDN/>
      <w:spacing w:line="288" w:lineRule="auto"/>
      <w:jc w:val="center"/>
    </w:pPr>
    <w:rPr>
      <w:rFonts w:ascii="宋体" w:hAnsi="宋体"/>
      <w:b/>
    </w:rPr>
  </w:style>
  <w:style w:type="paragraph" w:customStyle="1" w:styleId="16">
    <w:name w:val="Table Text"/>
    <w:basedOn w:val="1"/>
    <w:qFormat/>
    <w:uiPriority w:val="0"/>
    <w:pPr>
      <w:widowControl/>
      <w:autoSpaceDE w:val="0"/>
      <w:autoSpaceDN w:val="0"/>
      <w:spacing w:before="60" w:after="60"/>
      <w:jc w:val="left"/>
    </w:pPr>
    <w:rPr>
      <w:kern w:val="0"/>
    </w:rPr>
  </w:style>
  <w:style w:type="paragraph" w:customStyle="1" w:styleId="17">
    <w:name w:val="_Style 5"/>
    <w:basedOn w:val="3"/>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character" w:customStyle="1" w:styleId="18">
    <w:name w:val="标题 2 Char Char Char"/>
    <w:qFormat/>
    <w:uiPriority w:val="0"/>
    <w:rPr>
      <w:rFonts w:ascii="Arial" w:hAnsi="Arial" w:eastAsia="黑体"/>
      <w:b/>
      <w:bCs/>
      <w:kern w:val="2"/>
      <w:sz w:val="32"/>
      <w:szCs w:val="32"/>
      <w:lang w:val="en-US" w:eastAsia="zh-CN" w:bidi="ar-SA"/>
    </w:rPr>
  </w:style>
  <w:style w:type="paragraph" w:customStyle="1" w:styleId="19">
    <w:name w:val="无间隔1"/>
    <w:basedOn w:val="1"/>
    <w:qFormat/>
    <w:uiPriority w:val="1"/>
    <w:pPr>
      <w:spacing w:line="400" w:lineRule="exact"/>
    </w:pPr>
    <w:rPr>
      <w:sz w:val="24"/>
    </w:rPr>
  </w:style>
  <w:style w:type="paragraph" w:customStyle="1" w:styleId="20">
    <w:name w:val="样式 仿宋_GB2312 四号 行距: 1.5 倍行距"/>
    <w:basedOn w:val="1"/>
    <w:qFormat/>
    <w:uiPriority w:val="0"/>
    <w:pPr>
      <w:spacing w:line="360" w:lineRule="auto"/>
      <w:ind w:firstLine="560"/>
    </w:pPr>
    <w:rPr>
      <w:rFonts w:ascii="宋体" w:hAnsi="宋体"/>
      <w:color w:val="000000"/>
    </w:rPr>
  </w:style>
  <w:style w:type="paragraph" w:customStyle="1" w:styleId="21">
    <w:name w:val="正文1"/>
    <w:basedOn w:val="1"/>
    <w:qFormat/>
    <w:uiPriority w:val="0"/>
    <w:pPr>
      <w:widowControl/>
      <w:spacing w:line="360" w:lineRule="auto"/>
      <w:ind w:firstLine="480" w:firstLineChars="200"/>
    </w:pPr>
    <w:rPr>
      <w:rFonts w:ascii="宋体" w:hAnsi="宋体" w:cs="Arial"/>
      <w:kern w:val="0"/>
      <w:sz w:val="24"/>
    </w:rPr>
  </w:style>
  <w:style w:type="paragraph" w:customStyle="1" w:styleId="22">
    <w:name w:val="Other|1"/>
    <w:basedOn w:val="1"/>
    <w:link w:val="23"/>
    <w:qFormat/>
    <w:uiPriority w:val="0"/>
    <w:pPr>
      <w:widowControl w:val="0"/>
      <w:shd w:val="clear" w:color="auto" w:fill="auto"/>
      <w:spacing w:line="425" w:lineRule="auto"/>
      <w:ind w:firstLine="400"/>
    </w:pPr>
    <w:rPr>
      <w:rFonts w:ascii="MingLiU" w:hAnsi="MingLiU" w:eastAsia="MingLiU" w:cs="MingLiU"/>
      <w:sz w:val="22"/>
      <w:szCs w:val="22"/>
      <w:u w:val="none"/>
      <w:lang w:val="zh-TW" w:eastAsia="zh-TW" w:bidi="zh-TW"/>
    </w:rPr>
  </w:style>
  <w:style w:type="character" w:customStyle="1" w:styleId="23">
    <w:name w:val="Other|1_"/>
    <w:basedOn w:val="13"/>
    <w:link w:val="22"/>
    <w:qFormat/>
    <w:uiPriority w:val="0"/>
    <w:rPr>
      <w:rFonts w:ascii="MingLiU" w:hAnsi="MingLiU" w:eastAsia="MingLiU" w:cs="MingLiU"/>
      <w:sz w:val="22"/>
      <w:szCs w:val="22"/>
      <w:u w:val="none"/>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6186</Words>
  <Characters>6428</Characters>
  <Lines>0</Lines>
  <Paragraphs>0</Paragraphs>
  <TotalTime>22</TotalTime>
  <ScaleCrop>false</ScaleCrop>
  <LinksUpToDate>false</LinksUpToDate>
  <CharactersWithSpaces>7390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2025-12-13T08:34:00Z</dcterms:created>
  <dc:creator>lenovo</dc:creator>
  <cp:lastModifiedBy>沙</cp:lastModifiedBy>
  <dcterms:modified xsi:type="dcterms:W3CDTF">2026-05-25T05:44:08Z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C6EBBFDF9E3A4FC292D517B8516A0A22_13</vt:lpwstr>
  </property>
  <property fmtid="{D5CDD505-2E9C-101B-9397-08002B2CF9AE}" pid="4" name="KSOTemplateDocerSaveRecord">
    <vt:lpwstr>eyJoZGlkIjoiZTI2ZGYyNGQwYjc4ODljM2FhNmJkNGY3ZDA5YTZjMzciLCJ1c2VySWQiOiI0NDM1MjQ5NDUifQ==</vt:lpwstr>
  </property>
</Properties>
</file>