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kern w:val="2"/>
          <w:highlight w:val="none"/>
        </w:rPr>
      </w:pPr>
      <w:bookmarkStart w:id="0" w:name="_Toc67627991"/>
      <w:r>
        <w:rPr>
          <w:rFonts w:hint="eastAsia"/>
          <w:kern w:val="2"/>
          <w:highlight w:val="none"/>
        </w:rPr>
        <w:t xml:space="preserve"> </w:t>
      </w:r>
    </w:p>
    <w:p>
      <w:pPr>
        <w:spacing w:line="360" w:lineRule="auto"/>
        <w:jc w:val="center"/>
        <w:rPr>
          <w:rFonts w:ascii="宋体" w:hAnsi="宋体"/>
          <w:b/>
          <w:highlight w:val="none"/>
        </w:rPr>
      </w:pPr>
    </w:p>
    <w:p>
      <w:pPr>
        <w:jc w:val="center"/>
        <w:rPr>
          <w:rFonts w:ascii="宋体" w:hAnsi="宋体" w:cs="宋体"/>
          <w:b/>
          <w:bCs/>
          <w:sz w:val="52"/>
          <w:szCs w:val="52"/>
          <w:highlight w:val="none"/>
        </w:rPr>
      </w:pPr>
      <w:r>
        <w:rPr>
          <w:rFonts w:hint="eastAsia" w:ascii="宋体" w:hAnsi="宋体" w:cs="宋体"/>
          <w:b/>
          <w:bCs/>
          <w:sz w:val="52"/>
          <w:szCs w:val="52"/>
          <w:highlight w:val="none"/>
          <w:lang w:val="en-US" w:eastAsia="zh-CN"/>
        </w:rPr>
        <w:t>洪泽</w:t>
      </w:r>
      <w:r>
        <w:rPr>
          <w:rFonts w:hint="eastAsia" w:ascii="宋体" w:hAnsi="宋体" w:cs="宋体"/>
          <w:b/>
          <w:bCs/>
          <w:sz w:val="52"/>
          <w:szCs w:val="52"/>
          <w:highlight w:val="none"/>
        </w:rPr>
        <w:t>地区取芯技术服务</w:t>
      </w:r>
      <w:r>
        <w:rPr>
          <w:rFonts w:hint="eastAsia" w:ascii="宋体" w:hAnsi="宋体" w:cs="宋体"/>
          <w:sz w:val="52"/>
          <w:szCs w:val="52"/>
          <w:highlight w:val="none"/>
        </w:rPr>
        <w:t xml:space="preserve"> </w:t>
      </w: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spacing w:line="360" w:lineRule="auto"/>
        <w:jc w:val="center"/>
        <w:rPr>
          <w:rFonts w:ascii="黑体" w:hAnsi="宋体" w:eastAsia="黑体"/>
          <w:b/>
          <w:sz w:val="56"/>
          <w:szCs w:val="56"/>
          <w:highlight w:val="none"/>
        </w:rPr>
      </w:pPr>
      <w:r>
        <w:rPr>
          <w:rFonts w:hint="eastAsia" w:ascii="黑体" w:hAnsi="宋体" w:eastAsia="黑体"/>
          <w:b/>
          <w:sz w:val="56"/>
          <w:szCs w:val="56"/>
          <w:highlight w:val="none"/>
        </w:rPr>
        <w:t>竞争谈判文件</w:t>
      </w:r>
    </w:p>
    <w:p>
      <w:pPr>
        <w:spacing w:line="560" w:lineRule="exact"/>
        <w:jc w:val="center"/>
        <w:rPr>
          <w:rFonts w:ascii="仿宋_GB2312" w:hAnsi="宋体" w:eastAsia="仿宋_GB2312"/>
          <w:sz w:val="32"/>
          <w:szCs w:val="32"/>
          <w:highlight w:val="none"/>
        </w:rPr>
      </w:pPr>
      <w:r>
        <w:rPr>
          <w:rFonts w:hint="eastAsia" w:ascii="宋体" w:hAnsi="宋体"/>
          <w:b/>
          <w:sz w:val="44"/>
          <w:szCs w:val="44"/>
          <w:highlight w:val="none"/>
        </w:rPr>
        <w:t>采购编号：ZMCJ03CG20240176</w:t>
      </w:r>
    </w:p>
    <w:p>
      <w:pPr>
        <w:spacing w:line="360" w:lineRule="auto"/>
        <w:rPr>
          <w:rFonts w:ascii="宋体" w:hAnsi="宋体" w:eastAsia="仿宋_GB2312"/>
          <w:b/>
          <w:sz w:val="44"/>
          <w:szCs w:val="44"/>
          <w:highlight w:val="none"/>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pStyle w:val="5"/>
        <w:rPr>
          <w:highlight w:val="none"/>
        </w:rPr>
      </w:pPr>
    </w:p>
    <w:p>
      <w:pPr>
        <w:spacing w:line="360" w:lineRule="auto"/>
        <w:jc w:val="right"/>
        <w:rPr>
          <w:rFonts w:ascii="宋体" w:hAnsi="宋体"/>
          <w:sz w:val="32"/>
          <w:highlight w:val="none"/>
        </w:rPr>
      </w:pPr>
    </w:p>
    <w:p>
      <w:pPr>
        <w:spacing w:line="360" w:lineRule="auto"/>
        <w:rPr>
          <w:rFonts w:ascii="宋体" w:hAnsi="宋体"/>
          <w:sz w:val="32"/>
          <w:highlight w:val="none"/>
        </w:rPr>
      </w:pPr>
    </w:p>
    <w:p>
      <w:pPr>
        <w:pStyle w:val="2"/>
        <w:rPr>
          <w:highlight w:val="none"/>
        </w:rPr>
      </w:pPr>
    </w:p>
    <w:p>
      <w:pPr>
        <w:pStyle w:val="3"/>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十一</w:t>
      </w:r>
      <w:r>
        <w:rPr>
          <w:rFonts w:hint="eastAsia" w:ascii="黑体" w:hAnsi="黑体" w:eastAsia="黑体" w:cs="黑体"/>
          <w:b/>
          <w:sz w:val="32"/>
          <w:highlight w:val="none"/>
        </w:rPr>
        <w:t>月</w:t>
      </w:r>
    </w:p>
    <w:p>
      <w:pPr>
        <w:jc w:val="center"/>
        <w:rPr>
          <w:rFonts w:ascii="宋体" w:hAnsi="宋体"/>
          <w:highlight w:val="none"/>
        </w:rPr>
      </w:pPr>
    </w:p>
    <w:p>
      <w:pPr>
        <w:pStyle w:val="26"/>
        <w:jc w:val="center"/>
        <w:rPr>
          <w:rFonts w:ascii="宋体" w:hAnsi="宋体" w:eastAsia="宋体"/>
          <w:b/>
          <w:color w:val="auto"/>
          <w:kern w:val="2"/>
          <w:sz w:val="44"/>
          <w:szCs w:val="20"/>
          <w:highlight w:val="none"/>
        </w:rPr>
        <w:sectPr>
          <w:footerReference r:id="rId3" w:type="default"/>
          <w:pgSz w:w="11900" w:h="16840"/>
          <w:pgMar w:top="1570" w:right="1338" w:bottom="1616" w:left="1684" w:header="1481" w:footer="1531" w:gutter="0"/>
          <w:pgNumType w:start="1"/>
          <w:cols w:space="720" w:num="1"/>
          <w:docGrid w:linePitch="360" w:charSpace="0"/>
        </w:sectPr>
      </w:pPr>
    </w:p>
    <w:p>
      <w:pPr>
        <w:pStyle w:val="4"/>
        <w:rPr>
          <w:highlight w:val="none"/>
        </w:rPr>
      </w:pPr>
    </w:p>
    <w:bookmarkEnd w:id="0"/>
    <w:p>
      <w:pPr>
        <w:pStyle w:val="5"/>
        <w:spacing w:before="0" w:after="0" w:line="660" w:lineRule="exact"/>
        <w:ind w:firstLine="440" w:firstLineChars="100"/>
        <w:jc w:val="center"/>
        <w:rPr>
          <w:rFonts w:ascii="方正小标宋简体" w:hAnsi="仿宋_GB2312" w:eastAsia="方正小标宋简体"/>
          <w:b w:val="0"/>
          <w:bCs/>
          <w:color w:val="000000"/>
          <w:szCs w:val="44"/>
          <w:highlight w:val="none"/>
        </w:rPr>
      </w:pPr>
      <w:bookmarkStart w:id="1" w:name="_Toc20708"/>
      <w:bookmarkStart w:id="2" w:name="_Toc24572"/>
      <w:bookmarkStart w:id="3" w:name="_Toc8924"/>
      <w:r>
        <w:rPr>
          <w:rFonts w:hint="eastAsia" w:ascii="方正小标宋简体" w:hAnsi="仿宋_GB2312" w:eastAsia="方正小标宋简体"/>
          <w:b w:val="0"/>
          <w:bCs/>
          <w:color w:val="000000"/>
          <w:szCs w:val="44"/>
          <w:highlight w:val="none"/>
        </w:rPr>
        <w:t>第一章 竞争谈判公告</w:t>
      </w:r>
      <w:bookmarkEnd w:id="1"/>
      <w:bookmarkEnd w:id="2"/>
      <w:bookmarkEnd w:id="3"/>
    </w:p>
    <w:p>
      <w:pPr>
        <w:rPr>
          <w:highlight w:val="none"/>
        </w:rPr>
      </w:pPr>
    </w:p>
    <w:p>
      <w:pPr>
        <w:spacing w:line="560" w:lineRule="exact"/>
        <w:ind w:firstLine="640" w:firstLineChars="200"/>
        <w:rPr>
          <w:rFonts w:ascii="仿宋_GB2312" w:hAnsi="宋体" w:eastAsia="仿宋_GB2312"/>
          <w:snapToGrid w:val="0"/>
          <w:sz w:val="32"/>
          <w:szCs w:val="32"/>
          <w:highlight w:val="none"/>
        </w:rPr>
      </w:pPr>
      <w:bookmarkStart w:id="4" w:name="_Toc11379"/>
      <w:bookmarkStart w:id="5" w:name="_Toc97794043"/>
      <w:bookmarkStart w:id="6" w:name="_Toc30393"/>
      <w:r>
        <w:rPr>
          <w:rFonts w:hint="eastAsia" w:ascii="仿宋_GB2312" w:hAnsi="宋体" w:eastAsia="仿宋_GB2312"/>
          <w:snapToGrid w:val="0"/>
          <w:sz w:val="32"/>
          <w:szCs w:val="32"/>
          <w:highlight w:val="none"/>
          <w:lang w:val="en-US" w:eastAsia="zh-CN"/>
        </w:rPr>
        <w:t>洪泽</w:t>
      </w:r>
      <w:r>
        <w:rPr>
          <w:rFonts w:hint="eastAsia" w:ascii="仿宋_GB2312" w:hAnsi="宋体" w:eastAsia="仿宋_GB2312"/>
          <w:snapToGrid w:val="0"/>
          <w:sz w:val="32"/>
          <w:szCs w:val="32"/>
          <w:highlight w:val="none"/>
        </w:rPr>
        <w:t>地区取芯技术服务已具备采购条件，现采取竞争谈判方式采购，现就有关事项说明如下：</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一、采购概况</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1.项目名称：</w:t>
      </w:r>
      <w:r>
        <w:rPr>
          <w:rFonts w:hint="eastAsia" w:ascii="仿宋_GB2312" w:hAnsi="宋体" w:eastAsia="仿宋_GB2312"/>
          <w:snapToGrid w:val="0"/>
          <w:sz w:val="32"/>
          <w:szCs w:val="32"/>
          <w:highlight w:val="none"/>
          <w:lang w:val="en-US" w:eastAsia="zh-CN"/>
        </w:rPr>
        <w:t>洪泽</w:t>
      </w:r>
      <w:r>
        <w:rPr>
          <w:rFonts w:hint="eastAsia" w:ascii="仿宋_GB2312" w:hAnsi="宋体" w:eastAsia="仿宋_GB2312"/>
          <w:snapToGrid w:val="0"/>
          <w:sz w:val="32"/>
          <w:szCs w:val="32"/>
          <w:highlight w:val="none"/>
        </w:rPr>
        <w:t>地区取芯技术服务</w:t>
      </w:r>
      <w:r>
        <w:rPr>
          <w:rFonts w:hint="eastAsia" w:ascii="仿宋_GB2312" w:hAnsi="宋体" w:eastAsia="仿宋_GB2312"/>
          <w:snapToGrid w:val="0"/>
          <w:kern w:val="2"/>
          <w:sz w:val="32"/>
          <w:szCs w:val="32"/>
          <w:highlight w:val="none"/>
        </w:rPr>
        <w:t>采购</w:t>
      </w:r>
    </w:p>
    <w:p>
      <w:pPr>
        <w:pStyle w:val="21"/>
        <w:shd w:val="clear" w:color="auto" w:fill="FFFFFF"/>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2.项目地点：</w:t>
      </w:r>
      <w:r>
        <w:rPr>
          <w:rFonts w:hint="eastAsia" w:ascii="仿宋_GB2312" w:hAnsi="仿宋_GB2312" w:eastAsia="仿宋_GB2312" w:cs="仿宋_GB2312"/>
          <w:sz w:val="32"/>
          <w:szCs w:val="32"/>
          <w:highlight w:val="none"/>
          <w:lang w:val="en-US" w:eastAsia="zh-CN"/>
        </w:rPr>
        <w:t>淮安市洪泽区</w:t>
      </w:r>
    </w:p>
    <w:p>
      <w:pPr>
        <w:pStyle w:val="21"/>
        <w:shd w:val="clear" w:color="auto" w:fill="FFFFFF"/>
        <w:spacing w:beforeAutospacing="0" w:afterAutospacing="0" w:line="560" w:lineRule="exact"/>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3.项目性质：技术服务</w:t>
      </w:r>
    </w:p>
    <w:p>
      <w:pPr>
        <w:pStyle w:val="21"/>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.技术要求：详见技术参数</w:t>
      </w:r>
    </w:p>
    <w:p>
      <w:pPr>
        <w:pStyle w:val="21"/>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.采购需求：取芯技术服务</w:t>
      </w:r>
    </w:p>
    <w:p>
      <w:pPr>
        <w:pStyle w:val="21"/>
        <w:shd w:val="clear" w:color="auto" w:fill="FFFFFF"/>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.工期：项目工期</w:t>
      </w:r>
      <w:r>
        <w:rPr>
          <w:rFonts w:hint="eastAsia" w:ascii="仿宋_GB2312" w:hAnsi="仿宋_GB2312" w:eastAsia="仿宋_GB2312" w:cs="仿宋_GB2312"/>
          <w:sz w:val="32"/>
          <w:szCs w:val="32"/>
          <w:highlight w:val="none"/>
          <w:lang w:val="en-US" w:eastAsia="zh-CN"/>
        </w:rPr>
        <w:t>不多于10</w:t>
      </w:r>
      <w:r>
        <w:rPr>
          <w:rFonts w:hint="eastAsia" w:ascii="仿宋_GB2312" w:hAnsi="仿宋_GB2312" w:eastAsia="仿宋_GB2312" w:cs="仿宋_GB2312"/>
          <w:sz w:val="32"/>
          <w:szCs w:val="32"/>
          <w:highlight w:val="none"/>
        </w:rPr>
        <w:t>日历天，项目必需在11月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日之前完成</w:t>
      </w:r>
      <w:r>
        <w:rPr>
          <w:rFonts w:hint="eastAsia" w:ascii="仿宋_GB2312" w:hAnsi="仿宋_GB2312" w:eastAsia="仿宋_GB2312" w:cs="仿宋_GB2312"/>
          <w:sz w:val="32"/>
          <w:szCs w:val="32"/>
          <w:highlight w:val="none"/>
          <w:lang w:eastAsia="zh-CN"/>
        </w:rPr>
        <w:t>。</w:t>
      </w:r>
    </w:p>
    <w:p>
      <w:pPr>
        <w:pStyle w:val="21"/>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7.取芯项目：取芯技术服务段为320m（1180-1500m），岩性为戴南组泥岩</w:t>
      </w:r>
      <w:r>
        <w:rPr>
          <w:rFonts w:hint="eastAsia" w:ascii="仿宋_GB2312" w:hAnsi="仿宋_GB2312" w:eastAsia="仿宋_GB2312" w:cs="仿宋_GB2312"/>
          <w:sz w:val="32"/>
          <w:szCs w:val="32"/>
          <w:highlight w:val="none"/>
        </w:rPr>
        <w:t>。</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.采购控制价：</w:t>
      </w:r>
      <w:r>
        <w:rPr>
          <w:rFonts w:hint="eastAsia" w:ascii="仿宋_GB2312" w:hAnsi="仿宋_GB2312" w:eastAsia="仿宋_GB2312" w:cs="仿宋_GB2312"/>
          <w:sz w:val="32"/>
          <w:szCs w:val="32"/>
          <w:highlight w:val="none"/>
          <w:lang w:val="en-US" w:eastAsia="zh-CN"/>
        </w:rPr>
        <w:t>取心技术服务总控制价格不超过41万元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响应</w:t>
      </w:r>
      <w:r>
        <w:rPr>
          <w:rFonts w:hint="eastAsia" w:ascii="仿宋_GB2312" w:hAnsi="仿宋_GB2312" w:eastAsia="仿宋_GB2312" w:cs="仿宋_GB2312"/>
          <w:sz w:val="32"/>
          <w:szCs w:val="32"/>
          <w:highlight w:val="none"/>
        </w:rPr>
        <w:t>人按单价报价，最终根据甲乙双方确认的工作量据实进行结算</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.采购编号：ZMCJ03CG20240176</w:t>
      </w:r>
    </w:p>
    <w:p>
      <w:pPr>
        <w:spacing w:line="52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Hans"/>
        </w:rPr>
        <w:t>资金来源：</w:t>
      </w:r>
      <w:r>
        <w:rPr>
          <w:rFonts w:hint="eastAsia" w:ascii="仿宋_GB2312" w:hAnsi="宋体" w:eastAsia="仿宋_GB2312"/>
          <w:sz w:val="32"/>
          <w:szCs w:val="32"/>
          <w:highlight w:val="none"/>
        </w:rPr>
        <w:t>自有资金</w:t>
      </w:r>
    </w:p>
    <w:p>
      <w:pPr>
        <w:pStyle w:val="21"/>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Hans"/>
        </w:rPr>
        <w:t>.中标通知方式：书面通知</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lang w:eastAsia="zh-Hans"/>
        </w:rPr>
        <w:t>人</w:t>
      </w:r>
    </w:p>
    <w:p>
      <w:pPr>
        <w:spacing w:line="520" w:lineRule="exact"/>
        <w:ind w:firstLine="640" w:firstLineChars="200"/>
        <w:rPr>
          <w:rFonts w:ascii="仿宋_GB2312" w:hAnsi="宋体" w:eastAsia="仿宋_GB2312"/>
          <w:sz w:val="32"/>
          <w:szCs w:val="32"/>
          <w:highlight w:val="none"/>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 xml:space="preserve"> 评标办法</w:t>
      </w:r>
      <w:r>
        <w:rPr>
          <w:rFonts w:hint="eastAsia" w:ascii="仿宋_GB2312" w:hAnsi="仿宋_GB2312" w:eastAsia="仿宋_GB2312" w:cs="仿宋_GB2312"/>
          <w:sz w:val="32"/>
          <w:szCs w:val="32"/>
          <w:highlight w:val="none"/>
        </w:rPr>
        <w:t>：合理低价中标法</w:t>
      </w:r>
    </w:p>
    <w:p>
      <w:pPr>
        <w:pStyle w:val="21"/>
        <w:widowControl/>
        <w:shd w:val="clear" w:color="auto" w:fill="FFFFFF"/>
        <w:spacing w:beforeAutospacing="0" w:afterAutospacing="0" w:line="560" w:lineRule="exact"/>
        <w:ind w:firstLine="640" w:firstLineChars="200"/>
        <w:rPr>
          <w:rFonts w:ascii="黑体" w:hAnsi="黑体" w:eastAsia="黑体"/>
          <w:kern w:val="2"/>
          <w:sz w:val="32"/>
          <w:szCs w:val="32"/>
          <w:highlight w:val="none"/>
        </w:rPr>
      </w:pPr>
      <w:r>
        <w:rPr>
          <w:rFonts w:hint="eastAsia" w:ascii="黑体" w:hAnsi="黑体" w:eastAsia="黑体"/>
          <w:kern w:val="2"/>
          <w:sz w:val="32"/>
          <w:szCs w:val="32"/>
          <w:highlight w:val="none"/>
        </w:rPr>
        <w:t>二、合格谈判响应人的基本资质要求</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1.营业范围要求:谈判响应人应为在中华人民共和国境内注册的独立法人，具有独立承担民事责任能力，须提供具有合法、有效的“三证合一”的营业执照。</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2.财务要求：谈判响应人有依法纳税的良好记录，财务、资信状况良好，满足履行本项目的需要。</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 业绩要求：提供2021年1月1日至今有取芯技术服务业绩或相近业绩（附合同复印件）。</w:t>
      </w:r>
    </w:p>
    <w:p>
      <w:pPr>
        <w:pStyle w:val="2"/>
        <w:spacing w:after="0" w:line="520" w:lineRule="exact"/>
        <w:ind w:firstLine="640" w:firstLineChars="200"/>
        <w:rPr>
          <w:rFonts w:ascii="仿宋_GB2312" w:hAnsi="宋体" w:eastAsia="仿宋_GB2312"/>
          <w:snapToGrid w:val="0"/>
          <w:szCs w:val="32"/>
          <w:highlight w:val="none"/>
        </w:rPr>
      </w:pPr>
      <w:r>
        <w:rPr>
          <w:rFonts w:hint="eastAsia" w:ascii="仿宋_GB2312" w:hAnsi="仿宋_GB2312" w:eastAsia="仿宋_GB2312" w:cs="仿宋_GB2312"/>
          <w:szCs w:val="32"/>
          <w:highlight w:val="none"/>
        </w:rPr>
        <w:t>4.</w:t>
      </w:r>
      <w:r>
        <w:rPr>
          <w:rFonts w:hint="eastAsia" w:ascii="仿宋_GB2312" w:hAnsi="宋体" w:eastAsia="仿宋_GB2312"/>
          <w:snapToGrid w:val="0"/>
          <w:szCs w:val="32"/>
          <w:highlight w:val="none"/>
        </w:rPr>
        <w:t>谈判响应人</w:t>
      </w:r>
      <w:r>
        <w:rPr>
          <w:rFonts w:hint="eastAsia" w:ascii="仿宋_GB2312" w:hAnsi="仿宋_GB2312" w:eastAsia="仿宋_GB2312" w:cs="仿宋_GB2312"/>
          <w:szCs w:val="32"/>
          <w:highlight w:val="none"/>
        </w:rPr>
        <w:t>需在进场前为服务人员提供意外伤害险或者雇主责任险。</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6.谈判响应人不得与采购方存在利益关系，包括但不限于采购方领导和关键岗位人员持有谈判响应人股权、在谈判响应人中任职、存在亲属关系等。</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7.具有投资参股关系的关联企业，或具有直接管理或被管理关系的母子公司，或同一母公司的子公司，或法定代表人为同一人的两个及两个以上法人不得同时参与投标。</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8. 本次采购不接受联合体投标。</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3"/>
        <w:spacing w:after="0" w:line="520" w:lineRule="exact"/>
        <w:ind w:firstLine="640" w:firstLineChars="200"/>
        <w:rPr>
          <w:rFonts w:ascii="仿宋_GB2312" w:hAnsi="宋体" w:eastAsia="仿宋_GB2312"/>
          <w:sz w:val="32"/>
          <w:szCs w:val="32"/>
          <w:highlight w:val="none"/>
        </w:rPr>
      </w:pPr>
      <w:r>
        <w:rPr>
          <w:rFonts w:hint="eastAsia" w:ascii="仿宋_GB2312" w:hAnsi="仿宋_GB2312" w:eastAsia="仿宋_GB2312" w:cs="仿宋_GB2312"/>
          <w:sz w:val="32"/>
          <w:szCs w:val="32"/>
          <w:highlight w:val="none"/>
          <w:lang w:val="en-US" w:eastAsia="zh-CN"/>
        </w:rPr>
        <w:t>1.响应人自行在官网下载采购文件，</w:t>
      </w:r>
      <w:r>
        <w:rPr>
          <w:rFonts w:hint="eastAsia" w:ascii="仿宋_GB2312" w:hAnsi="仿宋_GB2312" w:eastAsia="仿宋_GB2312" w:cs="仿宋_GB2312"/>
          <w:spacing w:val="-2"/>
          <w:sz w:val="32"/>
          <w:szCs w:val="32"/>
          <w:highlight w:val="none"/>
        </w:rPr>
        <w:t>提交</w:t>
      </w:r>
      <w:r>
        <w:rPr>
          <w:rFonts w:hint="eastAsia" w:ascii="仿宋_GB2312" w:hAnsi="仿宋_GB2312" w:eastAsia="仿宋_GB2312" w:cs="仿宋_GB2312"/>
          <w:spacing w:val="-2"/>
          <w:sz w:val="32"/>
          <w:szCs w:val="32"/>
          <w:highlight w:val="none"/>
          <w:lang w:val="en-US" w:eastAsia="zh-CN"/>
        </w:rPr>
        <w:t>响应</w:t>
      </w:r>
      <w:r>
        <w:rPr>
          <w:rFonts w:hint="eastAsia" w:ascii="仿宋_GB2312" w:hAnsi="仿宋_GB2312" w:eastAsia="仿宋_GB2312" w:cs="仿宋_GB2312"/>
          <w:spacing w:val="-2"/>
          <w:sz w:val="32"/>
          <w:szCs w:val="32"/>
          <w:highlight w:val="none"/>
        </w:rPr>
        <w:t>文件截止时间</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2024年</w:t>
      </w:r>
      <w:r>
        <w:rPr>
          <w:rFonts w:hint="eastAsia" w:ascii="仿宋_GB2312" w:hAnsi="仿宋_GB2312" w:eastAsia="仿宋_GB2312" w:cs="仿宋_GB2312"/>
          <w:spacing w:val="-2"/>
          <w:sz w:val="32"/>
          <w:szCs w:val="32"/>
          <w:highlight w:val="none"/>
          <w:lang w:val="en-US" w:eastAsia="zh-CN"/>
        </w:rPr>
        <w:t>11</w:t>
      </w:r>
      <w:r>
        <w:rPr>
          <w:rFonts w:hint="eastAsia" w:ascii="仿宋_GB2312" w:hAnsi="仿宋_GB2312" w:eastAsia="仿宋_GB2312" w:cs="仿宋_GB2312"/>
          <w:spacing w:val="-2"/>
          <w:sz w:val="32"/>
          <w:szCs w:val="32"/>
          <w:highlight w:val="none"/>
        </w:rPr>
        <w:t>月</w:t>
      </w:r>
      <w:r>
        <w:rPr>
          <w:rFonts w:hint="eastAsia" w:ascii="仿宋_GB2312" w:hAnsi="仿宋_GB2312" w:eastAsia="仿宋_GB2312" w:cs="仿宋_GB2312"/>
          <w:spacing w:val="-2"/>
          <w:sz w:val="32"/>
          <w:szCs w:val="32"/>
          <w:highlight w:val="none"/>
          <w:lang w:val="en-US" w:eastAsia="zh-CN"/>
        </w:rPr>
        <w:t>27</w:t>
      </w:r>
      <w:r>
        <w:rPr>
          <w:rFonts w:hint="eastAsia" w:ascii="仿宋_GB2312" w:hAnsi="仿宋_GB2312" w:eastAsia="仿宋_GB2312" w:cs="仿宋_GB2312"/>
          <w:spacing w:val="-2"/>
          <w:sz w:val="32"/>
          <w:szCs w:val="32"/>
          <w:highlight w:val="none"/>
        </w:rPr>
        <w:t>日</w:t>
      </w:r>
      <w:r>
        <w:rPr>
          <w:rFonts w:hint="eastAsia" w:ascii="仿宋_GB2312" w:hAnsi="仿宋_GB2312" w:eastAsia="仿宋_GB2312" w:cs="仿宋_GB2312"/>
          <w:spacing w:val="-2"/>
          <w:sz w:val="32"/>
          <w:szCs w:val="32"/>
          <w:highlight w:val="none"/>
          <w:lang w:val="en-US" w:eastAsia="zh-CN"/>
        </w:rPr>
        <w:t>上午9</w:t>
      </w:r>
      <w:r>
        <w:rPr>
          <w:rFonts w:hint="eastAsia" w:ascii="仿宋_GB2312" w:hAnsi="仿宋_GB2312" w:eastAsia="仿宋_GB2312" w:cs="仿宋_GB2312"/>
          <w:spacing w:val="-2"/>
          <w:sz w:val="32"/>
          <w:szCs w:val="32"/>
          <w:highlight w:val="none"/>
        </w:rPr>
        <w:t>点00分（北京时间）</w:t>
      </w:r>
      <w:r>
        <w:rPr>
          <w:rFonts w:hint="eastAsia" w:ascii="仿宋_GB2312" w:hAnsi="仿宋_GB2312" w:eastAsia="仿宋_GB2312" w:cs="仿宋_GB2312"/>
          <w:sz w:val="32"/>
          <w:szCs w:val="32"/>
          <w:highlight w:val="none"/>
          <w:lang w:val="en-US" w:eastAsia="zh-CN"/>
        </w:rPr>
        <w:t>。</w:t>
      </w:r>
    </w:p>
    <w:p>
      <w:pPr>
        <w:pStyle w:val="3"/>
        <w:spacing w:after="0" w:line="52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.递交或邮寄地点：中煤长江地质集团有限公司（南京市栖霞区尧新大道5号515室招采部，联系人：刘晓梅，联系电话025-85666601）。</w:t>
      </w:r>
    </w:p>
    <w:p>
      <w:pPr>
        <w:pStyle w:val="3"/>
        <w:spacing w:after="0" w:line="52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.开标：2024年1</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27</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:00 时(北京时间)在中煤长江地质集团5楼会议室开标会议室开标。</w:t>
      </w:r>
    </w:p>
    <w:p>
      <w:pPr>
        <w:pStyle w:val="3"/>
        <w:spacing w:after="0" w:line="520" w:lineRule="exact"/>
        <w:ind w:firstLine="640" w:firstLineChars="200"/>
        <w:rPr>
          <w:rFonts w:ascii="仿宋_GB2312" w:hAnsi="宋体" w:eastAsia="仿宋_GB2312"/>
          <w:b/>
          <w:sz w:val="32"/>
          <w:szCs w:val="32"/>
          <w:highlight w:val="none"/>
        </w:rPr>
      </w:pPr>
      <w:r>
        <w:rPr>
          <w:rFonts w:hint="eastAsia" w:ascii="仿宋_GB2312" w:hAnsi="宋体" w:eastAsia="仿宋_GB2312"/>
          <w:sz w:val="32"/>
          <w:szCs w:val="32"/>
          <w:highlight w:val="none"/>
        </w:rPr>
        <w:t>上述安排如有变化，采购人将视情况在公司官网发布通知。</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采购方：江苏长江地质勘查院</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地址：南京市栖霞区尧新大道5号</w:t>
      </w:r>
    </w:p>
    <w:p>
      <w:pPr>
        <w:pStyle w:val="21"/>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联系人：刘晓梅     电话：025-85666601</w:t>
      </w:r>
    </w:p>
    <w:p>
      <w:pPr>
        <w:pStyle w:val="21"/>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 xml:space="preserve">项目联系人：赵鑫     </w:t>
      </w:r>
      <w:r>
        <w:rPr>
          <w:rFonts w:ascii="仿宋_GB2312" w:hAnsi="宋体" w:eastAsia="仿宋_GB2312"/>
          <w:snapToGrid w:val="0"/>
          <w:kern w:val="2"/>
          <w:sz w:val="32"/>
          <w:szCs w:val="32"/>
          <w:highlight w:val="none"/>
        </w:rPr>
        <w:t xml:space="preserve">     </w:t>
      </w:r>
      <w:r>
        <w:rPr>
          <w:rFonts w:hint="eastAsia" w:ascii="仿宋_GB2312" w:hAnsi="宋体" w:eastAsia="仿宋_GB2312"/>
          <w:snapToGrid w:val="0"/>
          <w:kern w:val="2"/>
          <w:sz w:val="32"/>
          <w:szCs w:val="32"/>
          <w:highlight w:val="none"/>
        </w:rPr>
        <w:t>电话：15951227762</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五、采购监督部门 </w:t>
      </w:r>
      <w:r>
        <w:rPr>
          <w:rFonts w:ascii="黑体" w:hAnsi="黑体" w:eastAsia="黑体"/>
          <w:color w:val="000000"/>
          <w:sz w:val="32"/>
          <w:szCs w:val="32"/>
          <w:highlight w:val="none"/>
        </w:rPr>
        <w:t xml:space="preserve"> </w:t>
      </w:r>
    </w:p>
    <w:p>
      <w:pPr>
        <w:pStyle w:val="3"/>
        <w:spacing w:after="0" w:line="560" w:lineRule="exact"/>
        <w:ind w:firstLine="640" w:firstLineChars="200"/>
        <w:rPr>
          <w:rFonts w:ascii="方正小标宋简体" w:hAnsi="仿宋_GB2312" w:eastAsia="方正小标宋简体"/>
          <w:bCs/>
          <w:color w:val="000000"/>
          <w:szCs w:val="44"/>
          <w:highlight w:val="none"/>
        </w:rPr>
      </w:pPr>
      <w:r>
        <w:rPr>
          <w:rFonts w:hint="eastAsia" w:ascii="仿宋_GB2312" w:hAnsi="宋体" w:eastAsia="仿宋_GB2312"/>
          <w:sz w:val="32"/>
          <w:szCs w:val="32"/>
          <w:highlight w:val="none"/>
        </w:rPr>
        <w:t>纪律检查部 电话：025-85666522</w:t>
      </w:r>
    </w:p>
    <w:p>
      <w:pPr>
        <w:pStyle w:val="5"/>
        <w:spacing w:before="0" w:after="0" w:line="660" w:lineRule="exact"/>
        <w:rPr>
          <w:rFonts w:ascii="方正小标宋简体" w:hAnsi="仿宋_GB2312" w:eastAsia="方正小标宋简体"/>
          <w:b w:val="0"/>
          <w:bCs/>
          <w:color w:val="000000"/>
          <w:szCs w:val="44"/>
          <w:highlight w:val="none"/>
        </w:rPr>
      </w:pPr>
    </w:p>
    <w:p>
      <w:pPr>
        <w:rPr>
          <w:rFonts w:ascii="方正小标宋简体" w:hAnsi="仿宋_GB2312" w:eastAsia="方正小标宋简体"/>
          <w:bCs/>
          <w:color w:val="000000"/>
          <w:szCs w:val="44"/>
          <w:highlight w:val="none"/>
        </w:rPr>
      </w:pPr>
    </w:p>
    <w:p>
      <w:pPr>
        <w:pStyle w:val="17"/>
        <w:rPr>
          <w:rFonts w:eastAsia="方正小标宋简体"/>
          <w:highlight w:val="none"/>
        </w:rPr>
      </w:pPr>
      <w:r>
        <w:rPr>
          <w:rFonts w:hint="eastAsia" w:ascii="方正小标宋简体" w:hAnsi="仿宋_GB2312" w:eastAsia="方正小标宋简体"/>
          <w:b w:val="0"/>
          <w:bCs/>
          <w:color w:val="000000"/>
          <w:szCs w:val="44"/>
          <w:highlight w:val="none"/>
        </w:rPr>
        <w:t xml:space="preserve">  </w:t>
      </w:r>
    </w:p>
    <w:p>
      <w:pPr>
        <w:pStyle w:val="5"/>
        <w:spacing w:before="0" w:after="0" w:line="240" w:lineRule="auto"/>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第二章 竞争谈判须知</w:t>
      </w:r>
      <w:bookmarkEnd w:id="4"/>
      <w:bookmarkEnd w:id="5"/>
      <w:bookmarkEnd w:id="6"/>
      <w:bookmarkStart w:id="7" w:name="_Toc6644"/>
    </w:p>
    <w:bookmarkEnd w:id="7"/>
    <w:p>
      <w:pPr>
        <w:pStyle w:val="3"/>
        <w:spacing w:after="0" w:line="560" w:lineRule="exact"/>
        <w:ind w:firstLine="640" w:firstLineChars="200"/>
        <w:rPr>
          <w:rFonts w:ascii="仿宋_GB2312" w:hAnsi="宋体" w:eastAsia="仿宋_GB2312"/>
          <w:sz w:val="32"/>
          <w:szCs w:val="32"/>
          <w:highlight w:val="none"/>
        </w:rPr>
      </w:pPr>
      <w:bookmarkStart w:id="8" w:name="_Toc18772"/>
      <w:bookmarkStart w:id="9" w:name="_Toc135998992"/>
      <w:bookmarkStart w:id="10" w:name="_Toc161767419"/>
      <w:r>
        <w:rPr>
          <w:rFonts w:hint="eastAsia" w:ascii="仿宋_GB2312" w:hAnsi="宋体" w:eastAsia="仿宋_GB2312"/>
          <w:sz w:val="32"/>
          <w:szCs w:val="32"/>
          <w:highlight w:val="none"/>
        </w:rPr>
        <w:t>一、谈判文件要求</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1、谈判文件封面</w:t>
      </w:r>
      <w:r>
        <w:rPr>
          <w:rFonts w:hint="eastAsia" w:ascii="仿宋_GB2312" w:hAnsi="宋体" w:eastAsia="仿宋_GB2312"/>
          <w:b/>
          <w:bCs/>
          <w:sz w:val="32"/>
          <w:szCs w:val="32"/>
          <w:highlight w:val="none"/>
        </w:rPr>
        <w:t>须加盖谈判响应人印章</w:t>
      </w:r>
      <w:r>
        <w:rPr>
          <w:rFonts w:hint="eastAsia" w:ascii="仿宋_GB2312" w:hAnsi="宋体" w:eastAsia="仿宋_GB2312"/>
          <w:sz w:val="32"/>
          <w:szCs w:val="32"/>
          <w:highlight w:val="none"/>
        </w:rPr>
        <w:t>。</w:t>
      </w:r>
    </w:p>
    <w:p>
      <w:pPr>
        <w:pStyle w:val="3"/>
        <w:spacing w:after="0" w:line="560" w:lineRule="exact"/>
        <w:ind w:firstLine="640" w:firstLineChars="200"/>
        <w:rPr>
          <w:rFonts w:ascii="仿宋_GB2312" w:hAnsi="宋体" w:eastAsia="仿宋_GB2312"/>
          <w:b/>
          <w:bCs/>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函须由法定代表人（单位负责人）或委托代理人</w:t>
      </w:r>
      <w:r>
        <w:rPr>
          <w:rFonts w:hint="eastAsia" w:ascii="仿宋_GB2312" w:hAnsi="宋体" w:eastAsia="仿宋_GB2312"/>
          <w:b/>
          <w:bCs/>
          <w:sz w:val="32"/>
          <w:szCs w:val="32"/>
          <w:highlight w:val="none"/>
        </w:rPr>
        <w:t>签字</w:t>
      </w:r>
      <w:r>
        <w:rPr>
          <w:rFonts w:hint="eastAsia" w:ascii="仿宋_GB2312" w:hAnsi="宋体" w:eastAsia="仿宋_GB2312"/>
          <w:b/>
          <w:bCs/>
          <w:sz w:val="32"/>
          <w:szCs w:val="32"/>
          <w:highlight w:val="none"/>
          <w:lang w:val="en-US" w:eastAsia="zh-CN"/>
        </w:rPr>
        <w:t>并</w:t>
      </w:r>
      <w:r>
        <w:rPr>
          <w:rFonts w:hint="eastAsia" w:ascii="仿宋_GB2312" w:hAnsi="宋体" w:eastAsia="仿宋_GB2312"/>
          <w:b/>
          <w:bCs/>
          <w:sz w:val="32"/>
          <w:szCs w:val="32"/>
          <w:highlight w:val="none"/>
        </w:rPr>
        <w:t>加盖单位公章。</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函由法定代表人（单位负责人）签字的，应附法定代表人（单位负责人）身份证明，法定代表人（单位负责人）身份证明</w:t>
      </w:r>
      <w:bookmarkStart w:id="53" w:name="_GoBack"/>
      <w:bookmarkEnd w:id="53"/>
      <w:r>
        <w:rPr>
          <w:rFonts w:hint="eastAsia" w:ascii="仿宋_GB2312" w:hAnsi="宋体" w:eastAsia="仿宋_GB2312"/>
          <w:sz w:val="32"/>
          <w:szCs w:val="32"/>
          <w:highlight w:val="none"/>
        </w:rPr>
        <w:t>应加盖单位公章。</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函由代理人签字的，应附授权委托书，授权委托书应由法人签字或加盖单位公章，被授权人签字。</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4、谈判响应人应按照谈判文件要求编制谈判响应文件，谈判响应文件一式 2份：其中正本1份、副本1 份。</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5、谈判响应文件为 A4 大小，采用胶装方式装订；正副本封面均按采购文件要求以黑体字标明工程名称和正、副本字样，并在密封处加盖骑缝章。</w:t>
      </w:r>
    </w:p>
    <w:p>
      <w:pPr>
        <w:pStyle w:val="3"/>
        <w:spacing w:after="0" w:line="560" w:lineRule="exact"/>
        <w:ind w:firstLine="643" w:firstLineChars="200"/>
        <w:rPr>
          <w:rFonts w:hint="default" w:eastAsia="仿宋_GB2312"/>
          <w:b/>
          <w:bCs/>
          <w:highlight w:val="none"/>
          <w:lang w:val="en-US" w:eastAsia="zh-CN"/>
        </w:rPr>
      </w:pPr>
      <w:r>
        <w:rPr>
          <w:rFonts w:hint="eastAsia" w:ascii="仿宋_GB2312" w:hAnsi="宋体" w:eastAsia="仿宋_GB2312"/>
          <w:b/>
          <w:bCs/>
          <w:sz w:val="32"/>
          <w:szCs w:val="32"/>
          <w:highlight w:val="none"/>
          <w:lang w:val="en-US" w:eastAsia="zh-CN"/>
        </w:rPr>
        <w:t>6、未能完全响应采购文件要求视为无效投标。</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二、报价说明：</w:t>
      </w:r>
    </w:p>
    <w:p>
      <w:pPr>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1、谈判响应人的报价应是谈判文件所确定的采购范围内全部内容的价格体现，报价方式采用固定单价，</w:t>
      </w:r>
      <w:r>
        <w:rPr>
          <w:rFonts w:hint="eastAsia" w:ascii="仿宋_GB2312" w:hAnsi="仿宋_GB2312" w:eastAsia="仿宋_GB2312" w:cs="仿宋_GB2312"/>
          <w:sz w:val="32"/>
          <w:szCs w:val="32"/>
          <w:highlight w:val="none"/>
        </w:rPr>
        <w:t>控制价：</w:t>
      </w:r>
      <w:r>
        <w:rPr>
          <w:rFonts w:hint="eastAsia" w:ascii="仿宋_GB2312" w:hAnsi="仿宋_GB2312" w:eastAsia="仿宋_GB2312" w:cs="仿宋_GB2312"/>
          <w:sz w:val="32"/>
          <w:szCs w:val="32"/>
          <w:highlight w:val="none"/>
          <w:lang w:val="en-US" w:eastAsia="zh-CN"/>
        </w:rPr>
        <w:t>取芯工况时间段内4.05万元/天</w:t>
      </w:r>
      <w:r>
        <w:rPr>
          <w:rFonts w:hint="eastAsia" w:ascii="仿宋_GB2312" w:hAnsi="仿宋_GB2312" w:eastAsia="仿宋_GB2312" w:cs="仿宋_GB2312"/>
          <w:sz w:val="32"/>
          <w:szCs w:val="32"/>
          <w:highlight w:val="none"/>
        </w:rPr>
        <w:t>，</w:t>
      </w:r>
      <w:r>
        <w:rPr>
          <w:rFonts w:hint="eastAsia" w:ascii="仿宋_GB2312" w:hAnsi="宋体" w:eastAsia="仿宋_GB2312"/>
          <w:sz w:val="32"/>
          <w:szCs w:val="32"/>
          <w:highlight w:val="none"/>
        </w:rPr>
        <w:t>谈判响应</w:t>
      </w:r>
      <w:r>
        <w:rPr>
          <w:rFonts w:hint="eastAsia" w:ascii="仿宋_GB2312" w:hAnsi="仿宋_GB2312" w:eastAsia="仿宋_GB2312" w:cs="仿宋_GB2312"/>
          <w:sz w:val="32"/>
          <w:szCs w:val="32"/>
          <w:highlight w:val="none"/>
        </w:rPr>
        <w:t>人按单价报价，最终根据双方确认的工作量据实进行结算。项目</w:t>
      </w:r>
      <w:r>
        <w:rPr>
          <w:rFonts w:hint="eastAsia" w:ascii="仿宋_GB2312" w:hAnsi="宋体" w:eastAsia="仿宋_GB2312"/>
          <w:sz w:val="32"/>
          <w:szCs w:val="32"/>
          <w:highlight w:val="none"/>
        </w:rPr>
        <w:t>实行固定单价，费用包含</w:t>
      </w:r>
      <w:r>
        <w:rPr>
          <w:rFonts w:hint="eastAsia" w:ascii="仿宋_GB2312" w:hAnsi="宋体" w:eastAsia="仿宋_GB2312"/>
          <w:sz w:val="32"/>
          <w:szCs w:val="32"/>
          <w:highlight w:val="none"/>
          <w:lang w:val="en-US" w:eastAsia="zh-CN"/>
        </w:rPr>
        <w:t>乙方自备取芯设备、岩心盒等辅</w:t>
      </w:r>
      <w:r>
        <w:rPr>
          <w:rFonts w:hint="eastAsia" w:ascii="仿宋_GB2312" w:hAnsi="宋体" w:eastAsia="仿宋_GB2312"/>
          <w:sz w:val="32"/>
          <w:szCs w:val="32"/>
          <w:highlight w:val="none"/>
        </w:rPr>
        <w:t>材</w:t>
      </w:r>
      <w:r>
        <w:rPr>
          <w:rFonts w:hint="eastAsia" w:ascii="仿宋_GB2312" w:hAnsi="宋体" w:eastAsia="仿宋_GB2312"/>
          <w:sz w:val="32"/>
          <w:szCs w:val="32"/>
          <w:highlight w:val="none"/>
          <w:lang w:val="en-US" w:eastAsia="zh-CN"/>
        </w:rPr>
        <w:t>及费用</w:t>
      </w:r>
      <w:r>
        <w:rPr>
          <w:rFonts w:hint="eastAsia" w:ascii="仿宋_GB2312" w:hAnsi="宋体" w:eastAsia="仿宋_GB2312"/>
          <w:sz w:val="32"/>
          <w:szCs w:val="32"/>
          <w:highlight w:val="none"/>
        </w:rPr>
        <w:t>；</w:t>
      </w:r>
    </w:p>
    <w:p>
      <w:pPr>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其余费用（包括用水用电费用、泥浆岩粉处理、环保费），</w:t>
      </w:r>
      <w:r>
        <w:rPr>
          <w:rFonts w:hint="eastAsia" w:ascii="仿宋_GB2312" w:hAnsi="宋体" w:eastAsia="仿宋_GB2312"/>
          <w:sz w:val="32"/>
          <w:szCs w:val="32"/>
          <w:highlight w:val="none"/>
          <w:lang w:val="en-US" w:eastAsia="zh-CN"/>
        </w:rPr>
        <w:t>均有乙方承担</w:t>
      </w:r>
      <w:r>
        <w:rPr>
          <w:rFonts w:hint="eastAsia" w:ascii="仿宋_GB2312" w:hAnsi="宋体" w:eastAsia="仿宋_GB2312"/>
          <w:sz w:val="32"/>
          <w:szCs w:val="32"/>
          <w:highlight w:val="none"/>
        </w:rPr>
        <w:t>。本报价含场地绿化、场地协调、青苗赔偿、泥浆外运等费用。最终总价按实际工作量进行结算。</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2、每一项目只允许有一个报价，任何有选择的报价将不予接受，一旦中标，报价不予调整。</w:t>
      </w:r>
    </w:p>
    <w:p>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3"/>
        <w:spacing w:after="0" w:line="560" w:lineRule="exact"/>
        <w:ind w:firstLine="640" w:firstLineChars="200"/>
        <w:rPr>
          <w:rFonts w:ascii="仿宋_GB2312" w:hAnsi="仿宋_GB2312" w:eastAsia="仿宋_GB2312" w:cs="仿宋_GB2312"/>
          <w:sz w:val="32"/>
          <w:szCs w:val="32"/>
          <w:highlight w:val="none"/>
        </w:rPr>
      </w:pPr>
      <w:r>
        <w:rPr>
          <w:rFonts w:hint="eastAsia" w:ascii="仿宋_GB2312" w:hAnsi="宋体" w:eastAsia="仿宋_GB2312"/>
          <w:sz w:val="32"/>
          <w:szCs w:val="32"/>
          <w:highlight w:val="none"/>
        </w:rPr>
        <w:t>三、工程量说明：</w:t>
      </w:r>
    </w:p>
    <w:p>
      <w:pPr>
        <w:pStyle w:val="9"/>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预计总工作量</w:t>
      </w:r>
      <w:r>
        <w:rPr>
          <w:rFonts w:hint="eastAsia" w:ascii="仿宋_GB2312" w:hAnsi="仿宋_GB2312" w:eastAsia="仿宋_GB2312" w:cs="仿宋_GB2312"/>
          <w:sz w:val="32"/>
          <w:szCs w:val="32"/>
          <w:highlight w:val="none"/>
          <w:lang w:val="en-US" w:eastAsia="zh-CN"/>
        </w:rPr>
        <w:t>不超过10日历天，预计取芯长度为320m（1180-1500m）</w:t>
      </w:r>
      <w:r>
        <w:rPr>
          <w:rFonts w:hint="eastAsia" w:ascii="仿宋_GB2312" w:hAnsi="仿宋_GB2312" w:eastAsia="仿宋_GB2312" w:cs="仿宋_GB2312"/>
          <w:sz w:val="32"/>
          <w:szCs w:val="32"/>
          <w:highlight w:val="none"/>
        </w:rPr>
        <w:t>，具体的钻孔位置由甲方在工作现场确定，服务期限至11月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0日，工作量以实际发生（双方签字验收认可）为准进行结算。在服务过程中，需要对其它部分进行治理的，则其工作内容经双方协商达成一致意见，并变更设计后进行。</w:t>
      </w:r>
    </w:p>
    <w:p>
      <w:pPr>
        <w:spacing w:line="360" w:lineRule="auto"/>
        <w:rPr>
          <w:highlight w:val="none"/>
        </w:rPr>
      </w:pPr>
    </w:p>
    <w:p>
      <w:pPr>
        <w:pStyle w:val="2"/>
        <w:ind w:firstLine="0"/>
        <w:rPr>
          <w:highlight w:val="none"/>
        </w:rPr>
      </w:pPr>
    </w:p>
    <w:p>
      <w:pPr>
        <w:pStyle w:val="5"/>
        <w:spacing w:before="0" w:after="0" w:line="660" w:lineRule="exact"/>
        <w:ind w:firstLine="880" w:firstLineChars="200"/>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br w:type="page"/>
      </w:r>
    </w:p>
    <w:p>
      <w:pPr>
        <w:pStyle w:val="5"/>
        <w:spacing w:before="0" w:after="0" w:line="660" w:lineRule="exact"/>
        <w:ind w:firstLine="880" w:firstLineChars="200"/>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第三章 合同主要条款及格式</w:t>
      </w:r>
      <w:bookmarkEnd w:id="8"/>
    </w:p>
    <w:p>
      <w:pPr>
        <w:spacing w:line="400" w:lineRule="exact"/>
        <w:jc w:val="center"/>
        <w:rPr>
          <w:b/>
          <w:sz w:val="52"/>
          <w:szCs w:val="44"/>
          <w:highlight w:val="none"/>
        </w:rPr>
      </w:pPr>
      <w:bookmarkStart w:id="11" w:name="_Toc97794046"/>
    </w:p>
    <w:bookmarkEnd w:id="9"/>
    <w:bookmarkEnd w:id="10"/>
    <w:bookmarkEnd w:id="11"/>
    <w:p>
      <w:pPr>
        <w:wordWrap w:val="0"/>
        <w:spacing w:before="480" w:beforeLines="200" w:after="480" w:afterLines="200"/>
        <w:jc w:val="right"/>
        <w:rPr>
          <w:rFonts w:cs="黑体"/>
          <w:sz w:val="30"/>
          <w:szCs w:val="30"/>
          <w:highlight w:val="none"/>
        </w:rPr>
      </w:pPr>
      <w:bookmarkStart w:id="12" w:name="_Toc27502"/>
      <w:bookmarkStart w:id="13" w:name="_Toc414431079"/>
      <w:bookmarkStart w:id="14" w:name="_Toc96585093"/>
      <w:bookmarkStart w:id="15" w:name="_Toc96584967"/>
      <w:bookmarkStart w:id="16" w:name="_Toc2782"/>
      <w:bookmarkStart w:id="17" w:name="_Toc16449"/>
      <w:bookmarkStart w:id="18" w:name="_Toc135999006"/>
      <w:bookmarkStart w:id="19" w:name="_Toc161767428"/>
      <w:r>
        <w:rPr>
          <w:rFonts w:hint="eastAsia" w:cs="黑体"/>
          <w:sz w:val="30"/>
          <w:szCs w:val="30"/>
          <w:highlight w:val="none"/>
        </w:rPr>
        <w:t xml:space="preserve">    </w:t>
      </w:r>
    </w:p>
    <w:p>
      <w:pPr>
        <w:spacing w:before="360" w:beforeLines="150" w:after="240" w:afterLines="100" w:line="480" w:lineRule="exact"/>
        <w:jc w:val="center"/>
        <w:rPr>
          <w:rFonts w:eastAsia="黑体" w:cs="黑体"/>
          <w:sz w:val="48"/>
          <w:szCs w:val="48"/>
          <w:highlight w:val="none"/>
        </w:rPr>
      </w:pPr>
      <w:r>
        <w:rPr>
          <w:rFonts w:hint="eastAsia" w:ascii="宋体" w:hAnsi="宋体" w:cs="宋体"/>
          <w:b/>
          <w:sz w:val="52"/>
          <w:szCs w:val="52"/>
          <w:highlight w:val="none"/>
          <w:lang w:val="en-US" w:eastAsia="zh-CN"/>
        </w:rPr>
        <w:t>洪泽</w:t>
      </w:r>
      <w:r>
        <w:rPr>
          <w:rFonts w:hint="eastAsia" w:ascii="宋体" w:hAnsi="宋体" w:cs="宋体"/>
          <w:b/>
          <w:sz w:val="52"/>
          <w:szCs w:val="52"/>
          <w:highlight w:val="none"/>
        </w:rPr>
        <w:t>地区取芯技术服务</w:t>
      </w:r>
      <w:r>
        <w:rPr>
          <w:rFonts w:hint="eastAsia" w:ascii="宋体" w:hAnsi="宋体" w:cs="宋体"/>
          <w:bCs/>
          <w:sz w:val="52"/>
          <w:szCs w:val="52"/>
          <w:highlight w:val="none"/>
        </w:rPr>
        <w:t xml:space="preserve"> </w:t>
      </w:r>
    </w:p>
    <w:p>
      <w:pPr>
        <w:ind w:firstLine="1044"/>
        <w:jc w:val="center"/>
        <w:rPr>
          <w:b/>
          <w:sz w:val="52"/>
          <w:szCs w:val="52"/>
          <w:highlight w:val="none"/>
        </w:rPr>
      </w:pPr>
    </w:p>
    <w:p>
      <w:pPr>
        <w:rPr>
          <w:sz w:val="32"/>
          <w:szCs w:val="32"/>
          <w:highlight w:val="none"/>
        </w:rPr>
      </w:pPr>
    </w:p>
    <w:p>
      <w:pPr>
        <w:ind w:firstLine="640"/>
        <w:jc w:val="center"/>
        <w:rPr>
          <w:sz w:val="32"/>
          <w:szCs w:val="32"/>
          <w:highlight w:val="none"/>
        </w:rPr>
      </w:pPr>
    </w:p>
    <w:p>
      <w:pPr>
        <w:jc w:val="center"/>
        <w:rPr>
          <w:b/>
          <w:bCs/>
          <w:sz w:val="72"/>
          <w:szCs w:val="72"/>
          <w:highlight w:val="none"/>
        </w:rPr>
      </w:pPr>
      <w:r>
        <w:rPr>
          <w:rFonts w:hint="eastAsia"/>
          <w:b/>
          <w:bCs/>
          <w:sz w:val="72"/>
          <w:szCs w:val="72"/>
          <w:highlight w:val="none"/>
        </w:rPr>
        <w:t>合同书</w:t>
      </w:r>
    </w:p>
    <w:p>
      <w:pPr>
        <w:rPr>
          <w:sz w:val="32"/>
          <w:szCs w:val="32"/>
          <w:highlight w:val="none"/>
        </w:rPr>
      </w:pPr>
    </w:p>
    <w:p>
      <w:pPr>
        <w:jc w:val="cente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spacing w:line="360" w:lineRule="auto"/>
        <w:ind w:firstLine="1805" w:firstLineChars="562"/>
        <w:rPr>
          <w:b/>
          <w:sz w:val="32"/>
          <w:szCs w:val="32"/>
          <w:highlight w:val="none"/>
        </w:rPr>
      </w:pPr>
      <w:r>
        <w:rPr>
          <w:b/>
          <w:sz w:val="32"/>
          <w:szCs w:val="32"/>
          <w:highlight w:val="none"/>
        </w:rPr>
        <w:t>甲方：</w:t>
      </w:r>
      <w:r>
        <w:rPr>
          <w:rFonts w:hint="eastAsia"/>
          <w:b/>
          <w:sz w:val="32"/>
          <w:szCs w:val="32"/>
          <w:highlight w:val="none"/>
          <w:u w:val="single"/>
        </w:rPr>
        <w:t>江苏长江地质勘查院</w:t>
      </w:r>
    </w:p>
    <w:p>
      <w:pPr>
        <w:spacing w:line="360" w:lineRule="auto"/>
        <w:ind w:firstLine="1805" w:firstLineChars="562"/>
        <w:rPr>
          <w:b/>
          <w:sz w:val="32"/>
          <w:szCs w:val="32"/>
          <w:highlight w:val="none"/>
          <w:u w:val="single"/>
        </w:rPr>
      </w:pPr>
      <w:r>
        <w:rPr>
          <w:b/>
          <w:sz w:val="32"/>
          <w:szCs w:val="32"/>
          <w:highlight w:val="none"/>
        </w:rPr>
        <w:t>乙方：</w:t>
      </w:r>
      <w:r>
        <w:rPr>
          <w:rFonts w:hint="eastAsia"/>
          <w:b/>
          <w:sz w:val="32"/>
          <w:szCs w:val="32"/>
          <w:highlight w:val="none"/>
          <w:u w:val="single"/>
        </w:rPr>
        <w:t xml:space="preserve">                      </w:t>
      </w:r>
    </w:p>
    <w:p>
      <w:pPr>
        <w:spacing w:line="360" w:lineRule="auto"/>
        <w:ind w:firstLine="1751" w:firstLineChars="545"/>
        <w:rPr>
          <w:b/>
          <w:sz w:val="32"/>
          <w:szCs w:val="32"/>
          <w:highlight w:val="none"/>
        </w:rPr>
      </w:pPr>
      <w:r>
        <w:rPr>
          <w:rFonts w:hint="eastAsia"/>
          <w:b/>
          <w:sz w:val="32"/>
          <w:szCs w:val="32"/>
          <w:highlight w:val="none"/>
        </w:rPr>
        <w:t>签订地点：江苏省常州市</w:t>
      </w:r>
    </w:p>
    <w:p>
      <w:pPr>
        <w:spacing w:line="360" w:lineRule="auto"/>
        <w:ind w:firstLine="1751" w:firstLineChars="545"/>
        <w:rPr>
          <w:rFonts w:cs="宋体"/>
          <w:b/>
          <w:bCs/>
          <w:sz w:val="24"/>
          <w:szCs w:val="24"/>
          <w:highlight w:val="none"/>
        </w:rPr>
        <w:sectPr>
          <w:pgSz w:w="11910" w:h="16840"/>
          <w:pgMar w:top="1580" w:right="1020" w:bottom="1140" w:left="1020" w:header="0" w:footer="959" w:gutter="0"/>
          <w:pgNumType w:fmt="numberInDash"/>
          <w:cols w:space="720" w:num="1"/>
        </w:sectPr>
      </w:pPr>
      <w:r>
        <w:rPr>
          <w:b/>
          <w:sz w:val="32"/>
          <w:szCs w:val="32"/>
          <w:highlight w:val="none"/>
        </w:rPr>
        <w:t>签订时间：</w:t>
      </w:r>
      <w:r>
        <w:rPr>
          <w:b/>
          <w:sz w:val="32"/>
          <w:szCs w:val="32"/>
          <w:highlight w:val="none"/>
          <w:u w:val="single"/>
        </w:rPr>
        <w:t xml:space="preserve"> </w:t>
      </w:r>
      <w:r>
        <w:rPr>
          <w:rFonts w:hint="eastAsia"/>
          <w:b/>
          <w:sz w:val="32"/>
          <w:szCs w:val="32"/>
          <w:highlight w:val="none"/>
          <w:u w:val="single"/>
        </w:rPr>
        <w:t xml:space="preserve">           </w:t>
      </w:r>
      <w:r>
        <w:rPr>
          <w:rFonts w:hint="eastAsia"/>
          <w:b/>
          <w:sz w:val="32"/>
          <w:szCs w:val="32"/>
          <w:highlight w:val="none"/>
        </w:rPr>
        <w:t>年</w:t>
      </w:r>
      <w:r>
        <w:rPr>
          <w:b/>
          <w:sz w:val="32"/>
          <w:szCs w:val="32"/>
          <w:highlight w:val="none"/>
          <w:u w:val="single"/>
        </w:rPr>
        <w:t xml:space="preserve"> </w:t>
      </w:r>
      <w:r>
        <w:rPr>
          <w:rFonts w:hint="eastAsia"/>
          <w:b/>
          <w:sz w:val="32"/>
          <w:szCs w:val="32"/>
          <w:highlight w:val="none"/>
          <w:u w:val="single"/>
        </w:rPr>
        <w:t xml:space="preserve">       </w:t>
      </w:r>
      <w:r>
        <w:rPr>
          <w:rFonts w:hint="eastAsia"/>
          <w:b/>
          <w:sz w:val="32"/>
          <w:szCs w:val="32"/>
          <w:highlight w:val="none"/>
        </w:rPr>
        <w:t>月</w:t>
      </w:r>
      <w:r>
        <w:rPr>
          <w:rFonts w:hint="eastAsia"/>
          <w:b/>
          <w:sz w:val="32"/>
          <w:szCs w:val="32"/>
          <w:highlight w:val="none"/>
          <w:u w:val="single"/>
        </w:rPr>
        <w:t xml:space="preserve">       </w:t>
      </w:r>
    </w:p>
    <w:p>
      <w:pPr>
        <w:spacing w:line="400" w:lineRule="exact"/>
        <w:jc w:val="center"/>
        <w:rPr>
          <w:highlight w:val="none"/>
        </w:rPr>
      </w:pPr>
      <w:r>
        <w:rPr>
          <w:rFonts w:hint="eastAsia" w:ascii="仿宋_GB2312" w:hAnsi="仿宋_GB2312" w:eastAsia="仿宋_GB2312" w:cs="仿宋_GB2312"/>
          <w:sz w:val="32"/>
          <w:szCs w:val="32"/>
          <w:highlight w:val="none"/>
        </w:rPr>
        <w:t>合同协议书</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20" w:name="_Toc6924678"/>
      <w:r>
        <w:rPr>
          <w:rFonts w:hint="eastAsia" w:ascii="方正仿宋_GB2312" w:hAnsi="方正仿宋_GB2312" w:eastAsia="方正仿宋_GB2312" w:cs="方正仿宋_GB2312"/>
          <w:sz w:val="28"/>
          <w:szCs w:val="28"/>
          <w:highlight w:val="none"/>
        </w:rPr>
        <w:t>1、事由</w:t>
      </w:r>
      <w:bookmarkEnd w:id="20"/>
    </w:p>
    <w:p>
      <w:pPr>
        <w:kinsoku w:val="0"/>
        <w:topLinePunct/>
        <w:autoSpaceDN w:val="0"/>
        <w:spacing w:line="400" w:lineRule="exact"/>
        <w:ind w:firstLine="560" w:firstLineChars="200"/>
        <w:textAlignment w:val="baseline"/>
        <w:rPr>
          <w:rFonts w:ascii="方正仿宋_GB2312" w:hAnsi="方正仿宋_GB2312" w:eastAsia="方正仿宋_GB2312" w:cs="方正仿宋_GB2312"/>
          <w:bCs/>
          <w:sz w:val="28"/>
          <w:szCs w:val="28"/>
          <w:highlight w:val="none"/>
        </w:rPr>
      </w:pPr>
      <w:r>
        <w:rPr>
          <w:rFonts w:hint="eastAsia" w:ascii="方正仿宋_GB2312" w:hAnsi="方正仿宋_GB2312" w:eastAsia="方正仿宋_GB2312" w:cs="方正仿宋_GB2312"/>
          <w:bCs/>
          <w:snapToGrid w:val="0"/>
          <w:color w:val="000000"/>
          <w:kern w:val="0"/>
          <w:sz w:val="28"/>
          <w:szCs w:val="28"/>
          <w:highlight w:val="none"/>
          <w:lang w:bidi="ar"/>
        </w:rPr>
        <w:t>根据</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洪泽</w:t>
      </w:r>
      <w:r>
        <w:rPr>
          <w:rFonts w:hint="eastAsia" w:ascii="方正仿宋_GB2312" w:hAnsi="方正仿宋_GB2312" w:eastAsia="方正仿宋_GB2312" w:cs="方正仿宋_GB2312"/>
          <w:bCs/>
          <w:snapToGrid w:val="0"/>
          <w:color w:val="000000"/>
          <w:kern w:val="0"/>
          <w:sz w:val="28"/>
          <w:szCs w:val="28"/>
          <w:highlight w:val="none"/>
          <w:lang w:bidi="ar"/>
        </w:rPr>
        <w:t>地区钻探工作需要，拟开展</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洪泽</w:t>
      </w:r>
      <w:r>
        <w:rPr>
          <w:rFonts w:hint="eastAsia" w:ascii="方正仿宋_GB2312" w:hAnsi="方正仿宋_GB2312" w:eastAsia="方正仿宋_GB2312" w:cs="方正仿宋_GB2312"/>
          <w:bCs/>
          <w:snapToGrid w:val="0"/>
          <w:color w:val="000000"/>
          <w:kern w:val="0"/>
          <w:sz w:val="28"/>
          <w:szCs w:val="28"/>
          <w:highlight w:val="none"/>
          <w:lang w:bidi="ar"/>
        </w:rPr>
        <w:t>地区取芯技术服务。</w:t>
      </w:r>
      <w:r>
        <w:rPr>
          <w:rFonts w:hint="eastAsia" w:ascii="方正仿宋_GB2312" w:hAnsi="方正仿宋_GB2312" w:eastAsia="方正仿宋_GB2312" w:cs="方正仿宋_GB2312"/>
          <w:bCs/>
          <w:snapToGrid w:val="0"/>
          <w:color w:val="000000"/>
          <w:kern w:val="0"/>
          <w:sz w:val="28"/>
          <w:szCs w:val="28"/>
          <w:highlight w:val="none"/>
          <w:u w:val="single"/>
          <w:lang w:bidi="ar"/>
        </w:rPr>
        <w:t xml:space="preserve">  </w:t>
      </w:r>
      <w:r>
        <w:rPr>
          <w:rFonts w:hint="eastAsia" w:ascii="方正仿宋_GB2312" w:hAnsi="方正仿宋_GB2312" w:eastAsia="方正仿宋_GB2312" w:cs="方正仿宋_GB2312"/>
          <w:bCs/>
          <w:snapToGrid w:val="0"/>
          <w:color w:val="000000"/>
          <w:kern w:val="0"/>
          <w:sz w:val="28"/>
          <w:szCs w:val="28"/>
          <w:highlight w:val="none"/>
          <w:lang w:bidi="ar"/>
        </w:rPr>
        <w:t>（委托方，以下简称甲方）确定由</w:t>
      </w:r>
      <w:r>
        <w:rPr>
          <w:rFonts w:hint="eastAsia" w:ascii="方正仿宋_GB2312" w:hAnsi="方正仿宋_GB2312" w:eastAsia="方正仿宋_GB2312" w:cs="方正仿宋_GB2312"/>
          <w:bCs/>
          <w:snapToGrid w:val="0"/>
          <w:color w:val="000000"/>
          <w:kern w:val="0"/>
          <w:sz w:val="28"/>
          <w:szCs w:val="28"/>
          <w:highlight w:val="none"/>
          <w:u w:val="single"/>
          <w:lang w:bidi="ar"/>
        </w:rPr>
        <w:t xml:space="preserve">          </w:t>
      </w:r>
      <w:r>
        <w:rPr>
          <w:rFonts w:hint="eastAsia" w:ascii="方正仿宋_GB2312" w:hAnsi="方正仿宋_GB2312" w:eastAsia="方正仿宋_GB2312" w:cs="方正仿宋_GB2312"/>
          <w:bCs/>
          <w:snapToGrid w:val="0"/>
          <w:color w:val="000000"/>
          <w:kern w:val="0"/>
          <w:sz w:val="28"/>
          <w:szCs w:val="28"/>
          <w:highlight w:val="none"/>
          <w:lang w:bidi="ar"/>
        </w:rPr>
        <w:t>（受托方，以下简称乙方）承担该项目技术服务。根据《中华人民共和国民法典》等有关法律法规，双方经过充分协商，自愿就上述合作内容达成一致，签订本合同，共同遵照执行。</w:t>
      </w:r>
    </w:p>
    <w:p>
      <w:pPr>
        <w:pStyle w:val="6"/>
        <w:widowControl/>
        <w:numPr>
          <w:ilvl w:val="0"/>
          <w:numId w:val="1"/>
        </w:numPr>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21" w:name="_Toc6924679"/>
      <w:r>
        <w:rPr>
          <w:rFonts w:hint="eastAsia" w:ascii="方正仿宋_GB2312" w:hAnsi="方正仿宋_GB2312" w:eastAsia="方正仿宋_GB2312" w:cs="方正仿宋_GB2312"/>
          <w:sz w:val="28"/>
          <w:szCs w:val="28"/>
          <w:highlight w:val="none"/>
        </w:rPr>
        <w:t>工作量</w:t>
      </w:r>
      <w:bookmarkEnd w:id="21"/>
      <w:bookmarkStart w:id="22" w:name="_Toc6924680"/>
    </w:p>
    <w:p>
      <w:pPr>
        <w:pStyle w:val="6"/>
        <w:widowControl/>
        <w:kinsoku w:val="0"/>
        <w:autoSpaceDE w:val="0"/>
        <w:autoSpaceDN w:val="0"/>
        <w:spacing w:before="0" w:after="0" w:line="400" w:lineRule="exact"/>
        <w:ind w:firstLine="560" w:firstLineChars="200"/>
        <w:textAlignment w:val="baseline"/>
        <w:rPr>
          <w:rFonts w:ascii="方正仿宋_GB2312" w:hAnsi="方正仿宋_GB2312" w:eastAsia="方正仿宋_GB2312" w:cs="方正仿宋_GB2312"/>
          <w:b w:val="0"/>
          <w:snapToGrid w:val="0"/>
          <w:color w:val="000000"/>
          <w:kern w:val="0"/>
          <w:sz w:val="28"/>
          <w:szCs w:val="28"/>
          <w:highlight w:val="none"/>
          <w:lang w:bidi="ar"/>
        </w:rPr>
      </w:pPr>
      <w:r>
        <w:rPr>
          <w:rFonts w:hint="eastAsia" w:ascii="方正仿宋_GB2312" w:hAnsi="方正仿宋_GB2312" w:eastAsia="方正仿宋_GB2312" w:cs="方正仿宋_GB2312"/>
          <w:b w:val="0"/>
          <w:snapToGrid w:val="0"/>
          <w:color w:val="000000"/>
          <w:kern w:val="0"/>
          <w:sz w:val="28"/>
          <w:szCs w:val="28"/>
          <w:highlight w:val="none"/>
          <w:lang w:bidi="ar"/>
        </w:rPr>
        <w:t>预计总工作量</w:t>
      </w:r>
      <w:r>
        <w:rPr>
          <w:rFonts w:hint="eastAsia" w:ascii="方正仿宋_GB2312" w:hAnsi="方正仿宋_GB2312" w:eastAsia="方正仿宋_GB2312" w:cs="方正仿宋_GB2312"/>
          <w:b w:val="0"/>
          <w:snapToGrid w:val="0"/>
          <w:color w:val="000000"/>
          <w:kern w:val="0"/>
          <w:sz w:val="28"/>
          <w:szCs w:val="28"/>
          <w:highlight w:val="none"/>
          <w:lang w:val="en-US" w:eastAsia="zh-CN" w:bidi="ar"/>
        </w:rPr>
        <w:t>不超过10日历天，服务深度为1180-1500m（共计约为320m）</w:t>
      </w:r>
      <w:r>
        <w:rPr>
          <w:rFonts w:hint="eastAsia" w:ascii="方正仿宋_GB2312" w:hAnsi="方正仿宋_GB2312" w:eastAsia="方正仿宋_GB2312" w:cs="方正仿宋_GB2312"/>
          <w:b w:val="0"/>
          <w:snapToGrid w:val="0"/>
          <w:color w:val="000000"/>
          <w:kern w:val="0"/>
          <w:sz w:val="28"/>
          <w:szCs w:val="28"/>
          <w:highlight w:val="none"/>
          <w:lang w:bidi="ar"/>
        </w:rPr>
        <w:t>，具体钻孔位置由甲方在工作现场确定，服务期限截止11月</w:t>
      </w:r>
      <w:r>
        <w:rPr>
          <w:rFonts w:hint="eastAsia" w:ascii="方正仿宋_GB2312" w:hAnsi="方正仿宋_GB2312" w:eastAsia="方正仿宋_GB2312" w:cs="方正仿宋_GB2312"/>
          <w:b w:val="0"/>
          <w:snapToGrid w:val="0"/>
          <w:color w:val="000000"/>
          <w:kern w:val="0"/>
          <w:sz w:val="28"/>
          <w:szCs w:val="28"/>
          <w:highlight w:val="none"/>
          <w:lang w:val="en-US" w:eastAsia="zh-CN" w:bidi="ar"/>
        </w:rPr>
        <w:t>3</w:t>
      </w:r>
      <w:r>
        <w:rPr>
          <w:rFonts w:hint="eastAsia" w:ascii="方正仿宋_GB2312" w:hAnsi="方正仿宋_GB2312" w:eastAsia="方正仿宋_GB2312" w:cs="方正仿宋_GB2312"/>
          <w:b w:val="0"/>
          <w:snapToGrid w:val="0"/>
          <w:color w:val="000000"/>
          <w:kern w:val="0"/>
          <w:sz w:val="28"/>
          <w:szCs w:val="28"/>
          <w:highlight w:val="none"/>
          <w:lang w:bidi="ar"/>
        </w:rPr>
        <w:t>0日，若乙方在11月</w:t>
      </w:r>
      <w:r>
        <w:rPr>
          <w:rFonts w:hint="eastAsia" w:ascii="方正仿宋_GB2312" w:hAnsi="方正仿宋_GB2312" w:eastAsia="方正仿宋_GB2312" w:cs="方正仿宋_GB2312"/>
          <w:b w:val="0"/>
          <w:snapToGrid w:val="0"/>
          <w:color w:val="000000"/>
          <w:kern w:val="0"/>
          <w:sz w:val="28"/>
          <w:szCs w:val="28"/>
          <w:highlight w:val="none"/>
          <w:lang w:val="en-US" w:eastAsia="zh-CN" w:bidi="ar"/>
        </w:rPr>
        <w:t>3</w:t>
      </w:r>
      <w:r>
        <w:rPr>
          <w:rFonts w:hint="eastAsia" w:ascii="方正仿宋_GB2312" w:hAnsi="方正仿宋_GB2312" w:eastAsia="方正仿宋_GB2312" w:cs="方正仿宋_GB2312"/>
          <w:b w:val="0"/>
          <w:snapToGrid w:val="0"/>
          <w:color w:val="000000"/>
          <w:kern w:val="0"/>
          <w:sz w:val="28"/>
          <w:szCs w:val="28"/>
          <w:highlight w:val="none"/>
          <w:lang w:bidi="ar"/>
        </w:rPr>
        <w:t>0日之前未完成技术服务内容，则</w:t>
      </w:r>
      <w:r>
        <w:rPr>
          <w:rFonts w:hint="eastAsia" w:ascii="方正仿宋_GB2312" w:hAnsi="方正仿宋_GB2312" w:eastAsia="方正仿宋_GB2312" w:cs="方正仿宋_GB2312"/>
          <w:b w:val="0"/>
          <w:snapToGrid w:val="0"/>
          <w:color w:val="000000"/>
          <w:kern w:val="0"/>
          <w:sz w:val="28"/>
          <w:szCs w:val="28"/>
          <w:highlight w:val="none"/>
          <w:lang w:val="en-US" w:eastAsia="zh-CN" w:bidi="ar"/>
        </w:rPr>
        <w:t>由甲方根据工作量完成情况核减固定单价费用，11月30日之后完成每延迟一天固定单价降低10%</w:t>
      </w:r>
      <w:r>
        <w:rPr>
          <w:rFonts w:hint="eastAsia" w:ascii="方正仿宋_GB2312" w:hAnsi="方正仿宋_GB2312" w:eastAsia="方正仿宋_GB2312" w:cs="方正仿宋_GB2312"/>
          <w:b w:val="0"/>
          <w:snapToGrid w:val="0"/>
          <w:color w:val="000000"/>
          <w:kern w:val="0"/>
          <w:sz w:val="28"/>
          <w:szCs w:val="28"/>
          <w:highlight w:val="none"/>
          <w:lang w:bidi="ar"/>
        </w:rPr>
        <w:t>，工作量以实际发生（双方签字验收认可）为准进行结算。在服务过程中，需要对其它部分进行治理的，则其工作内容经双方协商达成一致意见，并变更设计后进行。</w:t>
      </w:r>
    </w:p>
    <w:p>
      <w:pPr>
        <w:pStyle w:val="6"/>
        <w:widowControl/>
        <w:kinsoku w:val="0"/>
        <w:autoSpaceDE w:val="0"/>
        <w:autoSpaceDN w:val="0"/>
        <w:spacing w:before="0" w:after="0" w:line="400" w:lineRule="exact"/>
        <w:ind w:firstLine="562" w:firstLineChars="200"/>
        <w:textAlignment w:val="baseline"/>
        <w:rPr>
          <w:rFonts w:ascii="方正仿宋_GB2312" w:hAnsi="方正仿宋_GB2312" w:eastAsia="方正仿宋_GB2312" w:cs="方正仿宋_GB2312"/>
          <w:bCs/>
          <w:snapToGrid w:val="0"/>
          <w:color w:val="000000"/>
          <w:kern w:val="0"/>
          <w:sz w:val="28"/>
          <w:szCs w:val="28"/>
          <w:highlight w:val="none"/>
          <w:lang w:bidi="ar"/>
        </w:rPr>
      </w:pPr>
      <w:r>
        <w:rPr>
          <w:rFonts w:hint="eastAsia" w:ascii="方正仿宋_GB2312" w:hAnsi="方正仿宋_GB2312" w:eastAsia="方正仿宋_GB2312" w:cs="方正仿宋_GB2312"/>
          <w:bCs/>
          <w:snapToGrid w:val="0"/>
          <w:color w:val="000000"/>
          <w:kern w:val="0"/>
          <w:sz w:val="28"/>
          <w:szCs w:val="28"/>
          <w:highlight w:val="none"/>
          <w:lang w:bidi="ar"/>
        </w:rPr>
        <w:t>3、技术要求</w:t>
      </w:r>
      <w:bookmarkEnd w:id="22"/>
    </w:p>
    <w:p>
      <w:pPr>
        <w:kinsoku w:val="0"/>
        <w:topLinePunct/>
        <w:autoSpaceDN w:val="0"/>
        <w:spacing w:line="400" w:lineRule="exact"/>
        <w:ind w:firstLine="560" w:firstLineChars="200"/>
        <w:textAlignment w:val="baseline"/>
        <w:rPr>
          <w:rFonts w:ascii="方正仿宋_GB2312" w:hAnsi="方正仿宋_GB2312" w:eastAsia="方正仿宋_GB2312" w:cs="方正仿宋_GB2312"/>
          <w:bCs/>
          <w:snapToGrid w:val="0"/>
          <w:color w:val="000000"/>
          <w:kern w:val="0"/>
          <w:sz w:val="28"/>
          <w:szCs w:val="28"/>
          <w:highlight w:val="none"/>
          <w:lang w:bidi="ar"/>
        </w:rPr>
      </w:pPr>
      <w:r>
        <w:rPr>
          <w:rFonts w:hint="eastAsia" w:ascii="方正仿宋_GB2312" w:hAnsi="方正仿宋_GB2312" w:eastAsia="方正仿宋_GB2312" w:cs="方正仿宋_GB2312"/>
          <w:bCs/>
          <w:snapToGrid w:val="0"/>
          <w:color w:val="000000"/>
          <w:kern w:val="0"/>
          <w:sz w:val="28"/>
          <w:szCs w:val="28"/>
          <w:highlight w:val="none"/>
          <w:lang w:bidi="ar"/>
        </w:rPr>
        <w:t>（1）技术服务方案</w:t>
      </w:r>
    </w:p>
    <w:p>
      <w:pPr>
        <w:kinsoku w:val="0"/>
        <w:topLinePunct/>
        <w:autoSpaceDN w:val="0"/>
        <w:spacing w:line="400" w:lineRule="exact"/>
        <w:ind w:firstLine="560" w:firstLineChars="200"/>
        <w:textAlignment w:val="baseline"/>
        <w:rPr>
          <w:rFonts w:hint="eastAsia" w:ascii="方正仿宋_GB2312" w:hAnsi="方正仿宋_GB2312" w:eastAsia="方正仿宋_GB2312" w:cs="方正仿宋_GB2312"/>
          <w:bCs/>
          <w:snapToGrid w:val="0"/>
          <w:color w:val="000000"/>
          <w:kern w:val="0"/>
          <w:sz w:val="28"/>
          <w:szCs w:val="28"/>
          <w:highlight w:val="none"/>
          <w:lang w:bidi="ar"/>
        </w:rPr>
      </w:pPr>
      <w:r>
        <w:rPr>
          <w:rFonts w:hint="eastAsia" w:ascii="方正仿宋_GB2312" w:hAnsi="方正仿宋_GB2312" w:eastAsia="方正仿宋_GB2312" w:cs="方正仿宋_GB2312"/>
          <w:bCs/>
          <w:snapToGrid w:val="0"/>
          <w:color w:val="000000"/>
          <w:kern w:val="0"/>
          <w:sz w:val="28"/>
          <w:szCs w:val="28"/>
          <w:highlight w:val="none"/>
          <w:lang w:val="en-US" w:eastAsia="zh-CN" w:bidi="ar"/>
        </w:rPr>
        <w:t>深部取芯技术服务</w:t>
      </w:r>
      <w:r>
        <w:rPr>
          <w:rFonts w:hint="eastAsia" w:ascii="方正仿宋_GB2312" w:hAnsi="方正仿宋_GB2312" w:eastAsia="方正仿宋_GB2312" w:cs="方正仿宋_GB2312"/>
          <w:bCs/>
          <w:snapToGrid w:val="0"/>
          <w:color w:val="000000"/>
          <w:kern w:val="0"/>
          <w:sz w:val="28"/>
          <w:szCs w:val="28"/>
          <w:highlight w:val="none"/>
          <w:lang w:bidi="ar"/>
        </w:rPr>
        <w:t>揭露实际地层情况，结合区域地质条件、水文地质条件、地面沉降成因类型、地面沉降防控需求等因素，确定</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取出岩芯直径不小于70mm</w:t>
      </w:r>
      <w:r>
        <w:rPr>
          <w:rFonts w:hint="eastAsia" w:ascii="方正仿宋_GB2312" w:hAnsi="方正仿宋_GB2312" w:eastAsia="方正仿宋_GB2312" w:cs="方正仿宋_GB2312"/>
          <w:bCs/>
          <w:snapToGrid w:val="0"/>
          <w:color w:val="000000"/>
          <w:kern w:val="0"/>
          <w:sz w:val="28"/>
          <w:szCs w:val="28"/>
          <w:highlight w:val="none"/>
          <w:lang w:bidi="ar"/>
        </w:rPr>
        <w:t>。</w:t>
      </w:r>
    </w:p>
    <w:p>
      <w:pPr>
        <w:kinsoku w:val="0"/>
        <w:topLinePunct/>
        <w:autoSpaceDN w:val="0"/>
        <w:spacing w:line="400" w:lineRule="exact"/>
        <w:ind w:firstLine="560" w:firstLineChars="200"/>
        <w:textAlignment w:val="baseline"/>
        <w:rPr>
          <w:rFonts w:ascii="方正仿宋_GB2312" w:hAnsi="方正仿宋_GB2312" w:eastAsia="方正仿宋_GB2312" w:cs="方正仿宋_GB2312"/>
          <w:bCs/>
          <w:snapToGrid w:val="0"/>
          <w:color w:val="000000"/>
          <w:kern w:val="0"/>
          <w:sz w:val="28"/>
          <w:szCs w:val="28"/>
          <w:highlight w:val="none"/>
          <w:lang w:bidi="ar"/>
        </w:rPr>
      </w:pPr>
      <w:r>
        <w:rPr>
          <w:rFonts w:hint="eastAsia" w:ascii="方正仿宋_GB2312" w:hAnsi="方正仿宋_GB2312" w:eastAsia="方正仿宋_GB2312" w:cs="方正仿宋_GB2312"/>
          <w:bCs/>
          <w:snapToGrid w:val="0"/>
          <w:color w:val="000000"/>
          <w:kern w:val="0"/>
          <w:sz w:val="28"/>
          <w:szCs w:val="28"/>
          <w:highlight w:val="none"/>
          <w:lang w:bidi="ar"/>
        </w:rPr>
        <w:t>（2）钻探技术要求</w:t>
      </w:r>
    </w:p>
    <w:p>
      <w:pPr>
        <w:kinsoku w:val="0"/>
        <w:topLinePunct/>
        <w:autoSpaceDN w:val="0"/>
        <w:spacing w:line="400" w:lineRule="exact"/>
        <w:ind w:firstLine="560" w:firstLineChars="200"/>
        <w:textAlignment w:val="baseline"/>
        <w:rPr>
          <w:rFonts w:ascii="方正仿宋_GB2312" w:hAnsi="方正仿宋_GB2312" w:eastAsia="方正仿宋_GB2312" w:cs="方正仿宋_GB2312"/>
          <w:bCs/>
          <w:snapToGrid w:val="0"/>
          <w:color w:val="000000"/>
          <w:kern w:val="0"/>
          <w:sz w:val="28"/>
          <w:szCs w:val="28"/>
          <w:highlight w:val="none"/>
          <w:lang w:bidi="ar"/>
        </w:rPr>
      </w:pPr>
      <w:r>
        <w:rPr>
          <w:rFonts w:hint="eastAsia" w:ascii="方正仿宋_GB2312" w:hAnsi="方正仿宋_GB2312" w:eastAsia="方正仿宋_GB2312" w:cs="方正仿宋_GB2312"/>
          <w:bCs/>
          <w:snapToGrid w:val="0"/>
          <w:color w:val="000000"/>
          <w:kern w:val="0"/>
          <w:sz w:val="28"/>
          <w:szCs w:val="28"/>
          <w:highlight w:val="none"/>
          <w:lang w:bidi="ar"/>
        </w:rPr>
        <w:t>1、钻孔孔径</w:t>
      </w:r>
    </w:p>
    <w:p>
      <w:pPr>
        <w:kinsoku w:val="0"/>
        <w:topLinePunct/>
        <w:autoSpaceDN w:val="0"/>
        <w:spacing w:line="400" w:lineRule="exact"/>
        <w:ind w:firstLine="560" w:firstLineChars="200"/>
        <w:textAlignment w:val="baseline"/>
        <w:rPr>
          <w:rFonts w:ascii="方正仿宋_GB2312" w:hAnsi="方正仿宋_GB2312" w:eastAsia="方正仿宋_GB2312" w:cs="方正仿宋_GB2312"/>
          <w:bCs/>
          <w:snapToGrid w:val="0"/>
          <w:color w:val="000000"/>
          <w:kern w:val="0"/>
          <w:sz w:val="28"/>
          <w:szCs w:val="28"/>
          <w:highlight w:val="none"/>
          <w:lang w:bidi="ar"/>
        </w:rPr>
      </w:pPr>
      <w:r>
        <w:rPr>
          <w:rFonts w:hint="eastAsia" w:ascii="方正仿宋_GB2312" w:hAnsi="方正仿宋_GB2312" w:eastAsia="方正仿宋_GB2312" w:cs="方正仿宋_GB2312"/>
          <w:bCs/>
          <w:snapToGrid w:val="0"/>
          <w:color w:val="000000"/>
          <w:kern w:val="0"/>
          <w:sz w:val="28"/>
          <w:szCs w:val="28"/>
          <w:highlight w:val="none"/>
          <w:lang w:bidi="ar"/>
        </w:rPr>
        <w:t>取芯设备不低于</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ZJ30</w:t>
      </w:r>
      <w:r>
        <w:rPr>
          <w:rFonts w:hint="eastAsia" w:ascii="方正仿宋_GB2312" w:hAnsi="方正仿宋_GB2312" w:eastAsia="方正仿宋_GB2312" w:cs="方正仿宋_GB2312"/>
          <w:bCs/>
          <w:snapToGrid w:val="0"/>
          <w:color w:val="000000"/>
          <w:kern w:val="0"/>
          <w:sz w:val="28"/>
          <w:szCs w:val="28"/>
          <w:highlight w:val="none"/>
          <w:lang w:bidi="ar"/>
        </w:rPr>
        <w:t>设备，取出岩芯不低于</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70</w:t>
      </w:r>
      <w:r>
        <w:rPr>
          <w:rFonts w:hint="eastAsia" w:ascii="方正仿宋_GB2312" w:hAnsi="方正仿宋_GB2312" w:eastAsia="方正仿宋_GB2312" w:cs="方正仿宋_GB2312"/>
          <w:bCs/>
          <w:snapToGrid w:val="0"/>
          <w:color w:val="000000"/>
          <w:kern w:val="0"/>
          <w:sz w:val="28"/>
          <w:szCs w:val="28"/>
          <w:highlight w:val="none"/>
          <w:lang w:bidi="ar"/>
        </w:rPr>
        <w:t>mm，设备型号及性能要求按照行业相关要求及标准执行。</w:t>
      </w:r>
    </w:p>
    <w:p>
      <w:pPr>
        <w:kinsoku w:val="0"/>
        <w:topLinePunct/>
        <w:autoSpaceDN w:val="0"/>
        <w:spacing w:line="400" w:lineRule="exact"/>
        <w:ind w:firstLine="560" w:firstLineChars="200"/>
        <w:textAlignment w:val="baseline"/>
        <w:rPr>
          <w:rFonts w:hint="default" w:ascii="方正仿宋_GB2312" w:hAnsi="方正仿宋_GB2312" w:eastAsia="方正仿宋_GB2312" w:cs="方正仿宋_GB2312"/>
          <w:bCs/>
          <w:snapToGrid w:val="0"/>
          <w:color w:val="000000"/>
          <w:kern w:val="0"/>
          <w:sz w:val="28"/>
          <w:szCs w:val="28"/>
          <w:highlight w:val="none"/>
          <w:lang w:val="en-US" w:eastAsia="zh-CN" w:bidi="ar"/>
        </w:rPr>
      </w:pPr>
      <w:r>
        <w:rPr>
          <w:rFonts w:hint="eastAsia" w:ascii="方正仿宋_GB2312" w:hAnsi="方正仿宋_GB2312" w:eastAsia="方正仿宋_GB2312" w:cs="方正仿宋_GB2312"/>
          <w:bCs/>
          <w:snapToGrid w:val="0"/>
          <w:color w:val="000000"/>
          <w:kern w:val="0"/>
          <w:sz w:val="28"/>
          <w:szCs w:val="28"/>
          <w:highlight w:val="none"/>
          <w:lang w:val="en-US" w:eastAsia="zh-CN" w:bidi="ar"/>
        </w:rPr>
        <w:t>2</w:t>
      </w:r>
      <w:r>
        <w:rPr>
          <w:rFonts w:hint="eastAsia" w:ascii="方正仿宋_GB2312" w:hAnsi="方正仿宋_GB2312" w:eastAsia="方正仿宋_GB2312" w:cs="方正仿宋_GB2312"/>
          <w:bCs/>
          <w:snapToGrid w:val="0"/>
          <w:color w:val="000000"/>
          <w:kern w:val="0"/>
          <w:sz w:val="28"/>
          <w:szCs w:val="28"/>
          <w:highlight w:val="none"/>
          <w:lang w:bidi="ar"/>
        </w:rPr>
        <w:t>、</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取芯技术服务井段</w:t>
      </w:r>
    </w:p>
    <w:p>
      <w:pPr>
        <w:kinsoku w:val="0"/>
        <w:topLinePunct/>
        <w:autoSpaceDN w:val="0"/>
        <w:spacing w:line="400" w:lineRule="exact"/>
        <w:ind w:firstLine="560" w:firstLineChars="200"/>
        <w:textAlignment w:val="baseline"/>
        <w:rPr>
          <w:rFonts w:ascii="方正仿宋_GB2312" w:hAnsi="方正仿宋_GB2312" w:eastAsia="方正仿宋_GB2312" w:cs="方正仿宋_GB2312"/>
          <w:bCs/>
          <w:snapToGrid w:val="0"/>
          <w:color w:val="000000"/>
          <w:kern w:val="0"/>
          <w:sz w:val="28"/>
          <w:szCs w:val="28"/>
          <w:highlight w:val="none"/>
          <w:lang w:bidi="ar"/>
        </w:rPr>
      </w:pPr>
      <w:r>
        <w:rPr>
          <w:rFonts w:hint="eastAsia" w:ascii="方正仿宋_GB2312" w:hAnsi="方正仿宋_GB2312" w:eastAsia="方正仿宋_GB2312" w:cs="方正仿宋_GB2312"/>
          <w:bCs/>
          <w:snapToGrid w:val="0"/>
          <w:color w:val="000000"/>
          <w:kern w:val="0"/>
          <w:sz w:val="28"/>
          <w:szCs w:val="28"/>
          <w:highlight w:val="none"/>
          <w:lang w:bidi="ar"/>
        </w:rPr>
        <w:t>设计井深1</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180-1500</w:t>
      </w:r>
      <w:r>
        <w:rPr>
          <w:rFonts w:hint="eastAsia" w:ascii="方正仿宋_GB2312" w:hAnsi="方正仿宋_GB2312" w:eastAsia="方正仿宋_GB2312" w:cs="方正仿宋_GB2312"/>
          <w:bCs/>
          <w:snapToGrid w:val="0"/>
          <w:color w:val="000000"/>
          <w:kern w:val="0"/>
          <w:sz w:val="28"/>
          <w:szCs w:val="28"/>
          <w:highlight w:val="none"/>
          <w:lang w:bidi="ar"/>
        </w:rPr>
        <w:t>m，</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取芯长度约为320m,</w:t>
      </w:r>
      <w:r>
        <w:rPr>
          <w:rFonts w:hint="eastAsia" w:ascii="方正仿宋_GB2312" w:hAnsi="方正仿宋_GB2312" w:eastAsia="方正仿宋_GB2312" w:cs="方正仿宋_GB2312"/>
          <w:bCs/>
          <w:snapToGrid w:val="0"/>
          <w:color w:val="000000"/>
          <w:kern w:val="0"/>
          <w:sz w:val="28"/>
          <w:szCs w:val="28"/>
          <w:highlight w:val="none"/>
          <w:lang w:bidi="ar"/>
        </w:rPr>
        <w:t>以</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钻至目的深度为准</w:t>
      </w:r>
      <w:r>
        <w:rPr>
          <w:rFonts w:hint="eastAsia" w:ascii="方正仿宋_GB2312" w:hAnsi="方正仿宋_GB2312" w:eastAsia="方正仿宋_GB2312" w:cs="方正仿宋_GB2312"/>
          <w:bCs/>
          <w:snapToGrid w:val="0"/>
          <w:color w:val="000000"/>
          <w:kern w:val="0"/>
          <w:sz w:val="28"/>
          <w:szCs w:val="28"/>
          <w:highlight w:val="none"/>
          <w:lang w:bidi="ar"/>
        </w:rPr>
        <w:t>（具体终孔层位以甲方及建设方监理单位现场确定为最终依据）。完井井深视现场钻遇地层情况与甲方监理方商议并报甲方确定。钻孔实际深度至少大于设计深度3m，防止底部沉渣过多。钻孔深度偏差不大于±0.5‰。</w:t>
      </w:r>
    </w:p>
    <w:p>
      <w:pPr>
        <w:kinsoku w:val="0"/>
        <w:topLinePunct/>
        <w:autoSpaceDN w:val="0"/>
        <w:spacing w:line="400" w:lineRule="exact"/>
        <w:ind w:firstLine="560" w:firstLineChars="200"/>
        <w:textAlignment w:val="baseline"/>
        <w:rPr>
          <w:rFonts w:ascii="方正仿宋_GB2312" w:hAnsi="方正仿宋_GB2312" w:eastAsia="方正仿宋_GB2312" w:cs="方正仿宋_GB2312"/>
          <w:bCs/>
          <w:snapToGrid w:val="0"/>
          <w:color w:val="000000"/>
          <w:kern w:val="0"/>
          <w:sz w:val="28"/>
          <w:szCs w:val="28"/>
          <w:highlight w:val="none"/>
          <w:lang w:bidi="ar"/>
        </w:rPr>
      </w:pPr>
      <w:r>
        <w:rPr>
          <w:rFonts w:hint="eastAsia" w:ascii="方正仿宋_GB2312" w:hAnsi="方正仿宋_GB2312" w:eastAsia="方正仿宋_GB2312" w:cs="方正仿宋_GB2312"/>
          <w:bCs/>
          <w:snapToGrid w:val="0"/>
          <w:color w:val="000000"/>
          <w:kern w:val="0"/>
          <w:sz w:val="28"/>
          <w:szCs w:val="28"/>
          <w:highlight w:val="none"/>
          <w:lang w:val="en-US" w:eastAsia="zh-CN" w:bidi="ar"/>
        </w:rPr>
        <w:t>3</w:t>
      </w:r>
      <w:r>
        <w:rPr>
          <w:rFonts w:hint="eastAsia" w:ascii="方正仿宋_GB2312" w:hAnsi="方正仿宋_GB2312" w:eastAsia="方正仿宋_GB2312" w:cs="方正仿宋_GB2312"/>
          <w:bCs/>
          <w:snapToGrid w:val="0"/>
          <w:color w:val="000000"/>
          <w:kern w:val="0"/>
          <w:sz w:val="28"/>
          <w:szCs w:val="28"/>
          <w:highlight w:val="none"/>
          <w:lang w:bidi="ar"/>
        </w:rPr>
        <w:t>、取芯</w:t>
      </w:r>
    </w:p>
    <w:p>
      <w:pPr>
        <w:kinsoku w:val="0"/>
        <w:topLinePunct/>
        <w:autoSpaceDN w:val="0"/>
        <w:spacing w:line="400" w:lineRule="exact"/>
        <w:ind w:firstLine="560" w:firstLineChars="200"/>
        <w:textAlignment w:val="baseline"/>
        <w:rPr>
          <w:highlight w:val="none"/>
        </w:rPr>
      </w:pPr>
      <w:r>
        <w:rPr>
          <w:rFonts w:hint="eastAsia" w:ascii="方正仿宋_GB2312" w:hAnsi="方正仿宋_GB2312" w:eastAsia="方正仿宋_GB2312" w:cs="方正仿宋_GB2312"/>
          <w:bCs/>
          <w:snapToGrid w:val="0"/>
          <w:color w:val="000000"/>
          <w:kern w:val="0"/>
          <w:sz w:val="28"/>
          <w:szCs w:val="28"/>
          <w:highlight w:val="none"/>
          <w:lang w:bidi="ar"/>
        </w:rPr>
        <w:t>需进行全井段取芯技术服务，井段为</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1180</w:t>
      </w:r>
      <w:r>
        <w:rPr>
          <w:rFonts w:hint="eastAsia" w:ascii="方正仿宋_GB2312" w:hAnsi="方正仿宋_GB2312" w:eastAsia="方正仿宋_GB2312" w:cs="方正仿宋_GB2312"/>
          <w:bCs/>
          <w:snapToGrid w:val="0"/>
          <w:color w:val="000000"/>
          <w:kern w:val="0"/>
          <w:sz w:val="28"/>
          <w:szCs w:val="28"/>
          <w:highlight w:val="none"/>
          <w:lang w:bidi="ar"/>
        </w:rPr>
        <w:t>-1</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5</w:t>
      </w:r>
      <w:r>
        <w:rPr>
          <w:rFonts w:hint="eastAsia" w:ascii="方正仿宋_GB2312" w:hAnsi="方正仿宋_GB2312" w:eastAsia="方正仿宋_GB2312" w:cs="方正仿宋_GB2312"/>
          <w:bCs/>
          <w:snapToGrid w:val="0"/>
          <w:color w:val="000000"/>
          <w:kern w:val="0"/>
          <w:sz w:val="28"/>
          <w:szCs w:val="28"/>
          <w:highlight w:val="none"/>
          <w:lang w:bidi="ar"/>
        </w:rPr>
        <w:t>00m，取芯过程中，均匀施加钻压，保证岩心钻取率。采取上的岩心要及时出筒，岩心要完整清洁，保持矿心的本色和结构顺序，只能用饱和盐水擦洗岩心，防溶蚀；现场地质技术人员及时编录描述，做好分层记录，对不同的岩性单层厚度大于10cm者要进行分层描述。</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23" w:name="_Toc6924685"/>
      <w:r>
        <w:rPr>
          <w:rFonts w:hint="eastAsia" w:ascii="方正仿宋_GB2312" w:hAnsi="方正仿宋_GB2312" w:eastAsia="方正仿宋_GB2312" w:cs="方正仿宋_GB2312"/>
          <w:sz w:val="28"/>
          <w:szCs w:val="28"/>
          <w:highlight w:val="none"/>
        </w:rPr>
        <w:t>4、竣工验收</w:t>
      </w:r>
      <w:bookmarkEnd w:id="23"/>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甲方实行跟踪质量监理，每道工序完成后，都需得到监理人员认可，才可转入新的工序，钻孔终孔后，需由甲方验收合格后，方可撤场。</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24" w:name="_Toc6924692"/>
      <w:r>
        <w:rPr>
          <w:rFonts w:hint="eastAsia" w:ascii="方正仿宋_GB2312" w:hAnsi="方正仿宋_GB2312" w:eastAsia="方正仿宋_GB2312" w:cs="方正仿宋_GB2312"/>
          <w:sz w:val="28"/>
          <w:szCs w:val="28"/>
          <w:highlight w:val="none"/>
        </w:rPr>
        <w:t>5、技术服务费用</w:t>
      </w:r>
      <w:bookmarkEnd w:id="24"/>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5.1、费用实行综合单价包干，经双方议定固定单价为</w:t>
      </w:r>
      <w:r>
        <w:rPr>
          <w:rFonts w:hint="eastAsia" w:ascii="方正仿宋_GB2312" w:hAnsi="方正仿宋_GB2312" w:eastAsia="方正仿宋_GB2312" w:cs="方正仿宋_GB2312"/>
          <w:snapToGrid w:val="0"/>
          <w:color w:val="000000"/>
          <w:kern w:val="0"/>
          <w:sz w:val="28"/>
          <w:szCs w:val="28"/>
          <w:highlight w:val="none"/>
          <w:u w:val="single"/>
          <w:lang w:bidi="ar"/>
        </w:rPr>
        <w:t xml:space="preserve">           元/</w:t>
      </w:r>
      <w:r>
        <w:rPr>
          <w:rFonts w:hint="eastAsia" w:ascii="方正仿宋_GB2312" w:hAnsi="方正仿宋_GB2312" w:eastAsia="方正仿宋_GB2312" w:cs="方正仿宋_GB2312"/>
          <w:snapToGrid w:val="0"/>
          <w:color w:val="000000"/>
          <w:kern w:val="0"/>
          <w:sz w:val="28"/>
          <w:szCs w:val="28"/>
          <w:highlight w:val="none"/>
          <w:u w:val="single"/>
          <w:lang w:val="en-US" w:eastAsia="zh-CN" w:bidi="ar"/>
        </w:rPr>
        <w:t>日历天</w:t>
      </w:r>
      <w:r>
        <w:rPr>
          <w:rFonts w:hint="eastAsia" w:ascii="方正仿宋_GB2312" w:hAnsi="方正仿宋_GB2312" w:eastAsia="方正仿宋_GB2312" w:cs="方正仿宋_GB2312"/>
          <w:snapToGrid w:val="0"/>
          <w:color w:val="000000"/>
          <w:kern w:val="0"/>
          <w:sz w:val="28"/>
          <w:szCs w:val="28"/>
          <w:highlight w:val="none"/>
          <w:u w:val="single"/>
          <w:lang w:bidi="ar"/>
        </w:rPr>
        <w:t>,</w:t>
      </w:r>
      <w:r>
        <w:rPr>
          <w:rFonts w:hint="eastAsia" w:ascii="方正仿宋_GB2312" w:hAnsi="方正仿宋_GB2312" w:eastAsia="方正仿宋_GB2312" w:cs="方正仿宋_GB2312"/>
          <w:snapToGrid w:val="0"/>
          <w:color w:val="000000"/>
          <w:kern w:val="0"/>
          <w:sz w:val="28"/>
          <w:szCs w:val="28"/>
          <w:highlight w:val="none"/>
          <w:lang w:bidi="ar"/>
        </w:rPr>
        <w:t>。单价含</w:t>
      </w:r>
      <w:r>
        <w:rPr>
          <w:rFonts w:hint="eastAsia" w:ascii="方正仿宋_GB2312" w:hAnsi="方正仿宋_GB2312" w:eastAsia="方正仿宋_GB2312" w:cs="方正仿宋_GB2312"/>
          <w:snapToGrid w:val="0"/>
          <w:color w:val="000000"/>
          <w:kern w:val="0"/>
          <w:sz w:val="28"/>
          <w:szCs w:val="28"/>
          <w:highlight w:val="none"/>
          <w:u w:val="single"/>
          <w:lang w:bidi="ar"/>
        </w:rPr>
        <w:t>6%</w:t>
      </w:r>
      <w:r>
        <w:rPr>
          <w:rFonts w:hint="eastAsia" w:ascii="方正仿宋_GB2312" w:hAnsi="方正仿宋_GB2312" w:eastAsia="方正仿宋_GB2312" w:cs="方正仿宋_GB2312"/>
          <w:snapToGrid w:val="0"/>
          <w:color w:val="000000"/>
          <w:kern w:val="0"/>
          <w:sz w:val="28"/>
          <w:szCs w:val="28"/>
          <w:highlight w:val="none"/>
          <w:lang w:bidi="ar"/>
        </w:rPr>
        <w:t>税率。</w:t>
      </w:r>
    </w:p>
    <w:p>
      <w:pPr>
        <w:kinsoku w:val="0"/>
        <w:autoSpaceDE w:val="0"/>
        <w:autoSpaceDN w:val="0"/>
        <w:spacing w:line="400" w:lineRule="exact"/>
        <w:textAlignment w:val="baseline"/>
        <w:rPr>
          <w:rFonts w:ascii="方正仿宋_GB2312" w:hAnsi="方正仿宋_GB2312" w:eastAsia="方正仿宋_GB2312" w:cs="方正仿宋_GB2312"/>
          <w:b/>
          <w:sz w:val="28"/>
          <w:szCs w:val="28"/>
          <w:highlight w:val="none"/>
        </w:rPr>
      </w:pPr>
      <w:r>
        <w:rPr>
          <w:rFonts w:hint="eastAsia" w:ascii="方正仿宋_GB2312" w:hAnsi="方正仿宋_GB2312" w:eastAsia="方正仿宋_GB2312" w:cs="方正仿宋_GB2312"/>
          <w:b/>
          <w:snapToGrid w:val="0"/>
          <w:color w:val="000000"/>
          <w:kern w:val="0"/>
          <w:sz w:val="28"/>
          <w:szCs w:val="28"/>
          <w:highlight w:val="none"/>
          <w:lang w:bidi="ar"/>
        </w:rPr>
        <w:t>注：1、综合单价费用包括场地青苗费、场地恢复及绿化费、泥浆外运费</w:t>
      </w:r>
      <w:r>
        <w:rPr>
          <w:rFonts w:hint="eastAsia" w:ascii="方正仿宋_GB2312" w:hAnsi="方正仿宋_GB2312" w:eastAsia="方正仿宋_GB2312" w:cs="方正仿宋_GB2312"/>
          <w:b/>
          <w:snapToGrid w:val="0"/>
          <w:color w:val="000000"/>
          <w:kern w:val="0"/>
          <w:sz w:val="28"/>
          <w:szCs w:val="28"/>
          <w:highlight w:val="none"/>
          <w:lang w:eastAsia="zh-CN" w:bidi="ar"/>
        </w:rPr>
        <w:t>、</w:t>
      </w:r>
      <w:r>
        <w:rPr>
          <w:rFonts w:hint="eastAsia" w:ascii="方正仿宋_GB2312" w:hAnsi="方正仿宋_GB2312" w:eastAsia="方正仿宋_GB2312" w:cs="方正仿宋_GB2312"/>
          <w:b/>
          <w:snapToGrid w:val="0"/>
          <w:color w:val="000000"/>
          <w:kern w:val="0"/>
          <w:sz w:val="28"/>
          <w:szCs w:val="28"/>
          <w:highlight w:val="none"/>
          <w:lang w:bidi="ar"/>
        </w:rPr>
        <w:t>设备运输费、电费或柴油费等费用。</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5.2、若因甲方原因导致单孔实际终孔钻探深度未达到约定深度的，结算时根据实际完成的钻探深度*综合单价，按实结算。</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5.3、若因甲方原因导致单孔实际终孔钻探深度超过到约定深度的，原则上不超过约定孔深的5%，综合单价不变；超出约定孔深的5%部分，双方需重新约定</w:t>
      </w:r>
      <w:r>
        <w:rPr>
          <w:rFonts w:hint="eastAsia" w:ascii="方正仿宋_GB2312" w:hAnsi="方正仿宋_GB2312" w:eastAsia="方正仿宋_GB2312" w:cs="方正仿宋_GB2312"/>
          <w:snapToGrid w:val="0"/>
          <w:color w:val="000000"/>
          <w:kern w:val="0"/>
          <w:sz w:val="28"/>
          <w:szCs w:val="28"/>
          <w:highlight w:val="none"/>
          <w:lang w:val="en-US" w:eastAsia="zh-CN" w:bidi="ar"/>
        </w:rPr>
        <w:t>工期工作量</w:t>
      </w:r>
      <w:r>
        <w:rPr>
          <w:rFonts w:hint="eastAsia" w:ascii="方正仿宋_GB2312" w:hAnsi="方正仿宋_GB2312" w:eastAsia="方正仿宋_GB2312" w:cs="方正仿宋_GB2312"/>
          <w:snapToGrid w:val="0"/>
          <w:color w:val="000000"/>
          <w:kern w:val="0"/>
          <w:sz w:val="28"/>
          <w:szCs w:val="28"/>
          <w:highlight w:val="none"/>
          <w:lang w:bidi="ar"/>
        </w:rPr>
        <w:t>。</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25" w:name="_Toc6924693"/>
      <w:r>
        <w:rPr>
          <w:rFonts w:hint="eastAsia" w:ascii="方正仿宋_GB2312" w:hAnsi="方正仿宋_GB2312" w:eastAsia="方正仿宋_GB2312" w:cs="方正仿宋_GB2312"/>
          <w:sz w:val="28"/>
          <w:szCs w:val="28"/>
          <w:highlight w:val="none"/>
        </w:rPr>
        <w:t>6、费用支付</w:t>
      </w:r>
      <w:bookmarkEnd w:id="25"/>
      <w:bookmarkStart w:id="26" w:name="_Toc6924694"/>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甲方支付给乙方的工程款项根据甲方和业主签订的主合同付款方式及付款节点而定，同比例支付给乙方。同比例支付款项包含预付款、进度款、尾款等。</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甲方支付费用前乙方需提供等额的</w:t>
      </w:r>
      <w:r>
        <w:rPr>
          <w:rFonts w:hint="eastAsia" w:ascii="方正仿宋_GB2312" w:hAnsi="方正仿宋_GB2312" w:eastAsia="方正仿宋_GB2312" w:cs="方正仿宋_GB2312"/>
          <w:snapToGrid w:val="0"/>
          <w:color w:val="000000"/>
          <w:kern w:val="0"/>
          <w:sz w:val="28"/>
          <w:szCs w:val="28"/>
          <w:highlight w:val="none"/>
          <w:lang w:val="en-US" w:eastAsia="zh-CN" w:bidi="ar"/>
        </w:rPr>
        <w:t>专用</w:t>
      </w:r>
      <w:r>
        <w:rPr>
          <w:rFonts w:hint="eastAsia" w:ascii="方正仿宋_GB2312" w:hAnsi="方正仿宋_GB2312" w:eastAsia="方正仿宋_GB2312" w:cs="方正仿宋_GB2312"/>
          <w:snapToGrid w:val="0"/>
          <w:color w:val="000000"/>
          <w:kern w:val="0"/>
          <w:sz w:val="28"/>
          <w:szCs w:val="28"/>
          <w:highlight w:val="none"/>
          <w:lang w:bidi="ar"/>
        </w:rPr>
        <w:t>发票。</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7、服务期限</w:t>
      </w:r>
      <w:bookmarkEnd w:id="26"/>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合同签订后进场，乙方的服务期限需在本年度的11.</w:t>
      </w:r>
      <w:r>
        <w:rPr>
          <w:rFonts w:hint="eastAsia" w:ascii="方正仿宋_GB2312" w:hAnsi="方正仿宋_GB2312" w:eastAsia="方正仿宋_GB2312" w:cs="方正仿宋_GB2312"/>
          <w:snapToGrid w:val="0"/>
          <w:color w:val="000000"/>
          <w:kern w:val="0"/>
          <w:sz w:val="28"/>
          <w:szCs w:val="28"/>
          <w:highlight w:val="none"/>
          <w:lang w:val="en-US" w:eastAsia="zh-CN" w:bidi="ar"/>
        </w:rPr>
        <w:t>3</w:t>
      </w:r>
      <w:r>
        <w:rPr>
          <w:rFonts w:hint="eastAsia" w:ascii="方正仿宋_GB2312" w:hAnsi="方正仿宋_GB2312" w:eastAsia="方正仿宋_GB2312" w:cs="方正仿宋_GB2312"/>
          <w:snapToGrid w:val="0"/>
          <w:color w:val="000000"/>
          <w:kern w:val="0"/>
          <w:sz w:val="28"/>
          <w:szCs w:val="28"/>
          <w:highlight w:val="none"/>
          <w:lang w:bidi="ar"/>
        </w:rPr>
        <w:t>0号之前完成所有工作量，务必配备适量的辅助设备以保证按工期完成任务。</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27" w:name="_Toc6924695"/>
      <w:r>
        <w:rPr>
          <w:rFonts w:hint="eastAsia" w:ascii="方正仿宋_GB2312" w:hAnsi="方正仿宋_GB2312" w:eastAsia="方正仿宋_GB2312" w:cs="方正仿宋_GB2312"/>
          <w:sz w:val="28"/>
          <w:szCs w:val="28"/>
          <w:highlight w:val="none"/>
        </w:rPr>
        <w:t>8、甲方的义务</w:t>
      </w:r>
      <w:bookmarkEnd w:id="27"/>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8.1 负责工程监理；</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8.2 对乙方提交的工作方案和成果进行审查、验收。</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8.3 按照合同要求向乙方支付</w:t>
      </w:r>
      <w:r>
        <w:rPr>
          <w:rFonts w:hint="eastAsia" w:ascii="方正仿宋_GB2312" w:hAnsi="方正仿宋_GB2312" w:eastAsia="方正仿宋_GB2312" w:cs="方正仿宋_GB2312"/>
          <w:snapToGrid w:val="0"/>
          <w:color w:val="000000"/>
          <w:kern w:val="0"/>
          <w:sz w:val="28"/>
          <w:szCs w:val="28"/>
          <w:highlight w:val="none"/>
          <w:lang w:val="en-US" w:eastAsia="zh-CN" w:bidi="ar"/>
        </w:rPr>
        <w:t>技术服务</w:t>
      </w:r>
      <w:r>
        <w:rPr>
          <w:rFonts w:hint="eastAsia" w:ascii="方正仿宋_GB2312" w:hAnsi="方正仿宋_GB2312" w:eastAsia="方正仿宋_GB2312" w:cs="方正仿宋_GB2312"/>
          <w:snapToGrid w:val="0"/>
          <w:color w:val="000000"/>
          <w:kern w:val="0"/>
          <w:sz w:val="28"/>
          <w:szCs w:val="28"/>
          <w:highlight w:val="none"/>
          <w:lang w:bidi="ar"/>
        </w:rPr>
        <w:t>费用。</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28" w:name="_Toc6924696"/>
      <w:r>
        <w:rPr>
          <w:rFonts w:hint="eastAsia" w:ascii="方正仿宋_GB2312" w:hAnsi="方正仿宋_GB2312" w:eastAsia="方正仿宋_GB2312" w:cs="方正仿宋_GB2312"/>
          <w:sz w:val="28"/>
          <w:szCs w:val="28"/>
          <w:highlight w:val="none"/>
        </w:rPr>
        <w:t>9、乙方的义务</w:t>
      </w:r>
      <w:bookmarkEnd w:id="28"/>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9.1 合同签订后，7日内完成设备整备和调度，并安排设备进场作业；</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9.2 乙方应按时做好开钻准备工作，负责工作场地的平整、协调、青苗补偿和水电等，经甲方验收合格后方可</w:t>
      </w:r>
      <w:r>
        <w:rPr>
          <w:rFonts w:hint="eastAsia" w:ascii="方正仿宋_GB2312" w:hAnsi="方正仿宋_GB2312" w:eastAsia="方正仿宋_GB2312" w:cs="方正仿宋_GB2312"/>
          <w:snapToGrid w:val="0"/>
          <w:color w:val="000000"/>
          <w:kern w:val="0"/>
          <w:sz w:val="28"/>
          <w:szCs w:val="28"/>
          <w:highlight w:val="none"/>
          <w:lang w:val="en-US" w:eastAsia="zh-CN" w:bidi="ar"/>
        </w:rPr>
        <w:t>施工</w:t>
      </w:r>
      <w:r>
        <w:rPr>
          <w:rFonts w:hint="eastAsia" w:ascii="方正仿宋_GB2312" w:hAnsi="方正仿宋_GB2312" w:eastAsia="方正仿宋_GB2312" w:cs="方正仿宋_GB2312"/>
          <w:snapToGrid w:val="0"/>
          <w:color w:val="000000"/>
          <w:kern w:val="0"/>
          <w:sz w:val="28"/>
          <w:szCs w:val="28"/>
          <w:highlight w:val="none"/>
          <w:lang w:bidi="ar"/>
        </w:rPr>
        <w:t>，并严格按照甲方审定的技术方案实施；</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9.3 服务期间人员、设备、安全保卫工作由乙方负责；</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9.4 乙方应当在甲方确定的生产工期内实施钻探工程确保本项目完成。</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9.5 乙方应有健全的质保体系和检验制度，质量上接受甲方的监督。凡是产品质量不符合规定要求的，坚决返工并承担一切费用。</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9.6所获成果归甲方所有，未经甲方同意，乙方不得向第三方传播或用于商业目的。</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29" w:name="_Toc6924697"/>
      <w:r>
        <w:rPr>
          <w:rFonts w:hint="eastAsia" w:ascii="方正仿宋_GB2312" w:hAnsi="方正仿宋_GB2312" w:eastAsia="方正仿宋_GB2312" w:cs="方正仿宋_GB2312"/>
          <w:sz w:val="28"/>
          <w:szCs w:val="28"/>
          <w:highlight w:val="none"/>
        </w:rPr>
        <w:t>10、甲方违约责任</w:t>
      </w:r>
      <w:bookmarkEnd w:id="29"/>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10.1 合同签订后，乙方人员及钻机设备已进入服务现场，如由于甲方原因造成工程停工而中止合同，甲方无权请求返回实际的预付款项。</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10.2 甲方在收到主合同对应款项后，应于1周内按主合同同比例支付乙方工程款，若有延误应按延误天数和当时银行利息向乙方支付违约金，每天延误违约金按总工程款0.1%计算。</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30" w:name="_Toc6924698"/>
      <w:r>
        <w:rPr>
          <w:rFonts w:hint="eastAsia" w:ascii="方正仿宋_GB2312" w:hAnsi="方正仿宋_GB2312" w:eastAsia="方正仿宋_GB2312" w:cs="方正仿宋_GB2312"/>
          <w:sz w:val="28"/>
          <w:szCs w:val="28"/>
          <w:highlight w:val="none"/>
        </w:rPr>
        <w:t>11、乙方违约责任</w:t>
      </w:r>
      <w:bookmarkEnd w:id="30"/>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11.1 合同签订后，如乙方擅自中止或解除合同，乙方应全额返回甲方已预付的工程款项，并向甲方支付总工程款20%的违约金。</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11.2 乙方未按双方商定的日期完成钻探技术服务任务，应向甲方支付延期损失费，每天的延期损失费按总工程款0.1%计算。</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11.3 乙方服务的钻孔质量不符合合同要求或因乙方出现工程事故，采取补救措施后仍达不到合同要求，验收不能通过时，乙方应在原孔位旁侧（由甲方地质人员指定）重新服务，所产生的一切费用由乙方自理。</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11.4 对于钻探、试验成果，乙方有义务保密，否则甲方有权对因此造成的损失追究乙方的责任。</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31" w:name="_Toc6924699"/>
      <w:r>
        <w:rPr>
          <w:rFonts w:hint="eastAsia" w:ascii="方正仿宋_GB2312" w:hAnsi="方正仿宋_GB2312" w:eastAsia="方正仿宋_GB2312" w:cs="方正仿宋_GB2312"/>
          <w:sz w:val="28"/>
          <w:szCs w:val="28"/>
          <w:highlight w:val="none"/>
        </w:rPr>
        <w:t>12、争议解决办法</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本合同履行过程中发生争议双方应当协商解决，协商不成时进行调解。双方不愿协商、调解解决或者协商、调解不成的，双方商定，在项目所在地人民法院提起诉讼。</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13、不可抗拒的因素</w:t>
      </w:r>
      <w:bookmarkEnd w:id="31"/>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由于不可抗拒的因素，致使本合同无法履行时，双方应按有关法律、法规及时协商处理。</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32" w:name="_Toc6924700"/>
      <w:r>
        <w:rPr>
          <w:rFonts w:hint="eastAsia" w:ascii="方正仿宋_GB2312" w:hAnsi="方正仿宋_GB2312" w:eastAsia="方正仿宋_GB2312" w:cs="方正仿宋_GB2312"/>
          <w:sz w:val="28"/>
          <w:szCs w:val="28"/>
          <w:highlight w:val="none"/>
        </w:rPr>
        <w:t>14、未尽事宜</w:t>
      </w:r>
      <w:bookmarkEnd w:id="32"/>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本合同未尽事宜，双方应本着实事求是、友好协商的态度加以解决，双方签发的招标文件、投标书、及补充协议或纪要视为本合同的组成部分，亦具有法律效力，招标文件中有关条款于本合同不一致的以本合同为准。</w:t>
      </w:r>
    </w:p>
    <w:p>
      <w:pPr>
        <w:pStyle w:val="6"/>
        <w:widowControl/>
        <w:kinsoku w:val="0"/>
        <w:autoSpaceDE w:val="0"/>
        <w:autoSpaceDN w:val="0"/>
        <w:spacing w:before="0" w:after="0" w:line="400" w:lineRule="exact"/>
        <w:ind w:firstLine="482"/>
        <w:textAlignment w:val="baseline"/>
        <w:rPr>
          <w:rFonts w:ascii="方正仿宋_GB2312" w:hAnsi="方正仿宋_GB2312" w:eastAsia="方正仿宋_GB2312" w:cs="方正仿宋_GB2312"/>
          <w:sz w:val="28"/>
          <w:szCs w:val="28"/>
          <w:highlight w:val="none"/>
        </w:rPr>
      </w:pPr>
      <w:bookmarkStart w:id="33" w:name="_Toc6924701"/>
      <w:r>
        <w:rPr>
          <w:rFonts w:hint="eastAsia" w:ascii="方正仿宋_GB2312" w:hAnsi="方正仿宋_GB2312" w:eastAsia="方正仿宋_GB2312" w:cs="方正仿宋_GB2312"/>
          <w:sz w:val="28"/>
          <w:szCs w:val="28"/>
          <w:highlight w:val="none"/>
        </w:rPr>
        <w:t>15、附则</w:t>
      </w:r>
      <w:bookmarkEnd w:id="33"/>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15.1 本合同由双方法定代表人或委托代理人签字，加盖双方公章或合同专用章即生效。全部成果交接完毕和钻探工程费结算完成后，本合同终止。</w:t>
      </w:r>
    </w:p>
    <w:p>
      <w:pPr>
        <w:kinsoku w:val="0"/>
        <w:autoSpaceDE w:val="0"/>
        <w:autoSpaceDN w:val="0"/>
        <w:spacing w:line="400" w:lineRule="exact"/>
        <w:ind w:firstLine="560" w:firstLineChars="200"/>
        <w:textAlignment w:val="baseline"/>
        <w:rPr>
          <w:rFonts w:ascii="方正仿宋_GB2312" w:hAnsi="方正仿宋_GB2312" w:eastAsia="方正仿宋_GB2312" w:cs="方正仿宋_GB2312"/>
          <w:snapToGrid w:val="0"/>
          <w:color w:val="000000"/>
          <w:kern w:val="0"/>
          <w:sz w:val="28"/>
          <w:szCs w:val="28"/>
          <w:highlight w:val="none"/>
          <w:lang w:bidi="ar"/>
        </w:rPr>
      </w:pPr>
      <w:r>
        <w:rPr>
          <w:rFonts w:hint="eastAsia" w:ascii="方正仿宋_GB2312" w:hAnsi="方正仿宋_GB2312" w:eastAsia="方正仿宋_GB2312" w:cs="方正仿宋_GB2312"/>
          <w:snapToGrid w:val="0"/>
          <w:color w:val="000000"/>
          <w:kern w:val="0"/>
          <w:sz w:val="28"/>
          <w:szCs w:val="28"/>
          <w:highlight w:val="none"/>
          <w:lang w:bidi="ar"/>
        </w:rPr>
        <w:t>15.2 本合同壹式肆份，甲、乙双方各执两份。</w:t>
      </w:r>
    </w:p>
    <w:p>
      <w:pPr>
        <w:pStyle w:val="2"/>
        <w:spacing w:line="400" w:lineRule="exact"/>
        <w:rPr>
          <w:highlight w:val="none"/>
        </w:rPr>
      </w:pPr>
    </w:p>
    <w:p>
      <w:pPr>
        <w:kinsoku w:val="0"/>
        <w:autoSpaceDE w:val="0"/>
        <w:autoSpaceDN w:val="0"/>
        <w:spacing w:line="400" w:lineRule="exact"/>
        <w:textAlignment w:val="baseline"/>
        <w:rPr>
          <w:rFonts w:ascii="方正仿宋_GB2312" w:hAnsi="方正仿宋_GB2312" w:eastAsia="方正仿宋_GB2312" w:cs="方正仿宋_GB2312"/>
          <w:b/>
          <w:color w:val="000000"/>
          <w:sz w:val="28"/>
          <w:szCs w:val="28"/>
          <w:highlight w:val="none"/>
        </w:rPr>
      </w:pPr>
      <w:r>
        <w:rPr>
          <w:rFonts w:hint="eastAsia" w:ascii="方正仿宋_GB2312" w:hAnsi="方正仿宋_GB2312" w:eastAsia="方正仿宋_GB2312" w:cs="方正仿宋_GB2312"/>
          <w:b/>
          <w:snapToGrid w:val="0"/>
          <w:color w:val="000000"/>
          <w:kern w:val="0"/>
          <w:sz w:val="28"/>
          <w:szCs w:val="28"/>
          <w:highlight w:val="none"/>
          <w:lang w:bidi="ar"/>
        </w:rPr>
        <w:t xml:space="preserve">甲方：                                 乙方： </w:t>
      </w:r>
    </w:p>
    <w:p>
      <w:pPr>
        <w:kinsoku w:val="0"/>
        <w:autoSpaceDE w:val="0"/>
        <w:autoSpaceDN w:val="0"/>
        <w:spacing w:line="400" w:lineRule="exact"/>
        <w:textAlignment w:val="baseline"/>
        <w:rPr>
          <w:rFonts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snapToGrid w:val="0"/>
          <w:color w:val="000000"/>
          <w:kern w:val="0"/>
          <w:sz w:val="28"/>
          <w:szCs w:val="28"/>
          <w:highlight w:val="none"/>
          <w:lang w:bidi="ar"/>
        </w:rPr>
        <w:t>法定代表人或委托代理人：            法定代表人或委托代理人：</w:t>
      </w:r>
    </w:p>
    <w:p>
      <w:pPr>
        <w:kinsoku w:val="0"/>
        <w:autoSpaceDE w:val="0"/>
        <w:autoSpaceDN w:val="0"/>
        <w:spacing w:line="400" w:lineRule="exact"/>
        <w:textAlignment w:val="baseline"/>
        <w:rPr>
          <w:rFonts w:ascii="方正仿宋_GB2312" w:hAnsi="方正仿宋_GB2312" w:eastAsia="方正仿宋_GB2312" w:cs="方正仿宋_GB2312"/>
          <w:snapToGrid w:val="0"/>
          <w:color w:val="000000"/>
          <w:kern w:val="0"/>
          <w:sz w:val="28"/>
          <w:szCs w:val="28"/>
          <w:highlight w:val="none"/>
          <w:lang w:bidi="ar"/>
        </w:rPr>
      </w:pPr>
      <w:r>
        <w:rPr>
          <w:rFonts w:hint="eastAsia" w:ascii="方正仿宋_GB2312" w:hAnsi="方正仿宋_GB2312" w:eastAsia="方正仿宋_GB2312" w:cs="方正仿宋_GB2312"/>
          <w:snapToGrid w:val="0"/>
          <w:color w:val="000000"/>
          <w:kern w:val="0"/>
          <w:sz w:val="28"/>
          <w:szCs w:val="28"/>
          <w:highlight w:val="none"/>
          <w:lang w:bidi="ar"/>
        </w:rPr>
        <w:t>签定日期：   年   月   日           签定日期：   年   月   日</w:t>
      </w:r>
    </w:p>
    <w:p>
      <w:pPr>
        <w:kinsoku w:val="0"/>
        <w:autoSpaceDE w:val="0"/>
        <w:autoSpaceDN w:val="0"/>
        <w:spacing w:line="400" w:lineRule="exact"/>
        <w:textAlignment w:val="baseline"/>
        <w:rPr>
          <w:rFonts w:ascii="方正仿宋_GB2312" w:hAnsi="方正仿宋_GB2312" w:eastAsia="方正仿宋_GB2312" w:cs="方正仿宋_GB2312"/>
          <w:snapToGrid w:val="0"/>
          <w:color w:val="000000"/>
          <w:kern w:val="0"/>
          <w:sz w:val="28"/>
          <w:szCs w:val="28"/>
          <w:highlight w:val="none"/>
          <w:lang w:bidi="ar"/>
        </w:rPr>
      </w:pPr>
      <w:r>
        <w:rPr>
          <w:rFonts w:hint="eastAsia" w:ascii="方正仿宋_GB2312" w:hAnsi="方正仿宋_GB2312" w:eastAsia="方正仿宋_GB2312" w:cs="方正仿宋_GB2312"/>
          <w:snapToGrid w:val="0"/>
          <w:color w:val="000000"/>
          <w:kern w:val="0"/>
          <w:sz w:val="28"/>
          <w:szCs w:val="28"/>
          <w:highlight w:val="none"/>
          <w:lang w:bidi="ar"/>
        </w:rPr>
        <w:br w:type="page"/>
      </w:r>
    </w:p>
    <w:p>
      <w:pPr>
        <w:spacing w:line="360" w:lineRule="auto"/>
        <w:jc w:val="center"/>
        <w:outlineLvl w:val="0"/>
        <w:rPr>
          <w:b/>
          <w:kern w:val="44"/>
          <w:sz w:val="44"/>
          <w:szCs w:val="24"/>
          <w:highlight w:val="none"/>
        </w:rPr>
      </w:pPr>
      <w:r>
        <w:rPr>
          <w:rFonts w:hint="eastAsia" w:ascii="方正小标宋简体" w:hAnsi="仿宋_GB2312" w:eastAsia="方正小标宋简体"/>
          <w:bCs/>
          <w:kern w:val="44"/>
          <w:sz w:val="44"/>
          <w:szCs w:val="44"/>
          <w:highlight w:val="none"/>
        </w:rPr>
        <w:t>第四章 技术要求</w:t>
      </w:r>
    </w:p>
    <w:p>
      <w:pPr>
        <w:pStyle w:val="39"/>
        <w:widowControl/>
        <w:numPr>
          <w:ilvl w:val="0"/>
          <w:numId w:val="2"/>
        </w:numPr>
        <w:spacing w:line="360" w:lineRule="auto"/>
        <w:ind w:firstLineChars="0"/>
        <w:rPr>
          <w:rFonts w:hint="default" w:ascii="仿宋_GB2312" w:eastAsia="仿宋_GB2312" w:cs="仿宋_GB2312"/>
          <w:sz w:val="28"/>
          <w:szCs w:val="28"/>
          <w:highlight w:val="none"/>
        </w:rPr>
      </w:pPr>
      <w:r>
        <w:rPr>
          <w:rFonts w:ascii="仿宋_GB2312" w:eastAsia="仿宋_GB2312" w:cs="仿宋_GB2312"/>
          <w:sz w:val="28"/>
          <w:szCs w:val="28"/>
          <w:highlight w:val="none"/>
        </w:rPr>
        <w:t>技术服务方案</w:t>
      </w:r>
    </w:p>
    <w:p>
      <w:pPr>
        <w:spacing w:line="360" w:lineRule="auto"/>
        <w:ind w:firstLine="560" w:firstLineChars="200"/>
        <w:rPr>
          <w:rFonts w:ascii="仿宋_GB2312" w:eastAsia="仿宋_GB2312" w:cs="仿宋_GB2312"/>
          <w:sz w:val="28"/>
          <w:szCs w:val="28"/>
          <w:highlight w:val="none"/>
        </w:rPr>
      </w:pPr>
      <w:r>
        <w:rPr>
          <w:rFonts w:hint="eastAsia" w:ascii="仿宋_GB2312" w:hAnsi="等线" w:eastAsia="仿宋_GB2312" w:cs="仿宋_GB2312"/>
          <w:snapToGrid w:val="0"/>
          <w:color w:val="000000"/>
          <w:sz w:val="28"/>
          <w:szCs w:val="28"/>
          <w:highlight w:val="none"/>
          <w:lang w:bidi="ar"/>
        </w:rPr>
        <w:t>地质鉴别孔揭露实际地层情况，结合区域地质条件、水文地质条件、地面沉降成因类型、地面沉降防控需求等因素，确定</w:t>
      </w:r>
      <w:r>
        <w:rPr>
          <w:rFonts w:hint="eastAsia" w:ascii="仿宋_GB2312" w:hAnsi="等线" w:eastAsia="仿宋_GB2312" w:cs="仿宋_GB2312"/>
          <w:snapToGrid w:val="0"/>
          <w:color w:val="000000"/>
          <w:sz w:val="28"/>
          <w:szCs w:val="28"/>
          <w:highlight w:val="none"/>
          <w:lang w:val="en-US" w:eastAsia="zh-CN" w:bidi="ar"/>
        </w:rPr>
        <w:t>取芯深度</w:t>
      </w:r>
      <w:r>
        <w:rPr>
          <w:rFonts w:hint="eastAsia" w:ascii="仿宋_GB2312" w:hAnsi="等线" w:eastAsia="仿宋_GB2312" w:cs="仿宋_GB2312"/>
          <w:snapToGrid w:val="0"/>
          <w:color w:val="000000"/>
          <w:sz w:val="28"/>
          <w:szCs w:val="28"/>
          <w:highlight w:val="none"/>
          <w:lang w:bidi="ar"/>
        </w:rPr>
        <w:t>。以长期监测深部岩盐矿产开采和盐穴空间利用产生的地面高程变化，为矿产开发安全和能源储备安全及社会经济可持续发展提供保障。</w:t>
      </w:r>
    </w:p>
    <w:p>
      <w:pPr>
        <w:pStyle w:val="39"/>
        <w:widowControl/>
        <w:numPr>
          <w:ilvl w:val="0"/>
          <w:numId w:val="2"/>
        </w:numPr>
        <w:spacing w:line="360" w:lineRule="auto"/>
        <w:ind w:firstLineChars="0"/>
        <w:rPr>
          <w:rFonts w:hint="default" w:ascii="仿宋_GB2312" w:eastAsia="仿宋_GB2312" w:cs="仿宋_GB2312"/>
          <w:sz w:val="28"/>
          <w:szCs w:val="28"/>
          <w:highlight w:val="none"/>
        </w:rPr>
      </w:pPr>
      <w:r>
        <w:rPr>
          <w:rFonts w:ascii="仿宋_GB2312" w:eastAsia="仿宋_GB2312" w:cs="仿宋_GB2312"/>
          <w:sz w:val="28"/>
          <w:szCs w:val="28"/>
          <w:highlight w:val="none"/>
        </w:rPr>
        <w:t>钻探技术要求</w:t>
      </w:r>
    </w:p>
    <w:p>
      <w:pPr>
        <w:spacing w:line="360" w:lineRule="auto"/>
        <w:ind w:firstLine="560" w:firstLineChars="200"/>
        <w:rPr>
          <w:rFonts w:ascii="仿宋_GB2312" w:eastAsia="仿宋_GB2312" w:cs="仿宋_GB2312"/>
          <w:sz w:val="28"/>
          <w:szCs w:val="28"/>
          <w:highlight w:val="none"/>
        </w:rPr>
      </w:pPr>
      <w:r>
        <w:rPr>
          <w:rFonts w:hint="eastAsia" w:ascii="仿宋_GB2312" w:hAnsi="等线" w:eastAsia="仿宋_GB2312" w:cs="仿宋_GB2312"/>
          <w:snapToGrid w:val="0"/>
          <w:color w:val="000000"/>
          <w:sz w:val="28"/>
          <w:szCs w:val="28"/>
          <w:highlight w:val="none"/>
          <w:lang w:bidi="ar"/>
        </w:rPr>
        <w:t>1、钻孔孔径</w:t>
      </w:r>
    </w:p>
    <w:p>
      <w:pPr>
        <w:spacing w:line="360" w:lineRule="auto"/>
        <w:ind w:firstLine="560" w:firstLineChars="200"/>
        <w:rPr>
          <w:rFonts w:ascii="仿宋_GB2312" w:eastAsia="仿宋_GB2312" w:cs="仿宋_GB2312"/>
          <w:sz w:val="28"/>
          <w:szCs w:val="28"/>
          <w:highlight w:val="none"/>
        </w:rPr>
      </w:pPr>
      <w:r>
        <w:rPr>
          <w:rFonts w:hint="eastAsia" w:ascii="仿宋_GB2312" w:hAnsi="等线" w:eastAsia="仿宋_GB2312" w:cs="仿宋_GB2312"/>
          <w:snapToGrid w:val="0"/>
          <w:color w:val="000000"/>
          <w:sz w:val="28"/>
          <w:szCs w:val="28"/>
          <w:highlight w:val="none"/>
          <w:lang w:bidi="ar"/>
        </w:rPr>
        <w:t>取芯设备不低于</w:t>
      </w:r>
      <w:r>
        <w:rPr>
          <w:rFonts w:hint="eastAsia" w:ascii="仿宋_GB2312" w:hAnsi="等线" w:eastAsia="仿宋_GB2312" w:cs="仿宋_GB2312"/>
          <w:snapToGrid w:val="0"/>
          <w:color w:val="000000"/>
          <w:sz w:val="28"/>
          <w:szCs w:val="28"/>
          <w:highlight w:val="none"/>
          <w:lang w:val="en-US" w:eastAsia="zh-CN" w:bidi="ar"/>
        </w:rPr>
        <w:t>ZJ30钻井</w:t>
      </w:r>
      <w:r>
        <w:rPr>
          <w:rFonts w:hint="eastAsia" w:ascii="仿宋_GB2312" w:hAnsi="等线" w:eastAsia="仿宋_GB2312" w:cs="仿宋_GB2312"/>
          <w:snapToGrid w:val="0"/>
          <w:color w:val="000000"/>
          <w:sz w:val="28"/>
          <w:szCs w:val="28"/>
          <w:highlight w:val="none"/>
          <w:lang w:bidi="ar"/>
        </w:rPr>
        <w:t>设备，取出岩芯直径不低于</w:t>
      </w:r>
      <w:r>
        <w:rPr>
          <w:rFonts w:hint="eastAsia" w:ascii="仿宋_GB2312" w:hAnsi="等线" w:eastAsia="仿宋_GB2312" w:cs="仿宋_GB2312"/>
          <w:snapToGrid w:val="0"/>
          <w:color w:val="000000"/>
          <w:sz w:val="28"/>
          <w:szCs w:val="28"/>
          <w:highlight w:val="none"/>
          <w:lang w:val="en-US" w:eastAsia="zh-CN" w:bidi="ar"/>
        </w:rPr>
        <w:t>70</w:t>
      </w:r>
      <w:r>
        <w:rPr>
          <w:rFonts w:hint="eastAsia" w:ascii="仿宋_GB2312" w:hAnsi="等线" w:eastAsia="仿宋_GB2312" w:cs="仿宋_GB2312"/>
          <w:snapToGrid w:val="0"/>
          <w:color w:val="000000"/>
          <w:sz w:val="28"/>
          <w:szCs w:val="28"/>
          <w:highlight w:val="none"/>
          <w:lang w:bidi="ar"/>
        </w:rPr>
        <w:t>mm，设备型号及性能要求按照行业相关要求及标准执行。</w:t>
      </w:r>
    </w:p>
    <w:p>
      <w:pPr>
        <w:kinsoku w:val="0"/>
        <w:topLinePunct/>
        <w:autoSpaceDN w:val="0"/>
        <w:spacing w:line="400" w:lineRule="exact"/>
        <w:ind w:firstLine="560" w:firstLineChars="200"/>
        <w:textAlignment w:val="baseline"/>
        <w:rPr>
          <w:rFonts w:hint="default" w:ascii="方正仿宋_GB2312" w:hAnsi="方正仿宋_GB2312" w:eastAsia="方正仿宋_GB2312" w:cs="方正仿宋_GB2312"/>
          <w:bCs/>
          <w:snapToGrid w:val="0"/>
          <w:color w:val="000000"/>
          <w:kern w:val="0"/>
          <w:sz w:val="28"/>
          <w:szCs w:val="28"/>
          <w:highlight w:val="none"/>
          <w:lang w:val="en-US" w:eastAsia="zh-CN" w:bidi="ar"/>
        </w:rPr>
      </w:pPr>
      <w:r>
        <w:rPr>
          <w:rFonts w:hint="eastAsia" w:ascii="方正仿宋_GB2312" w:hAnsi="方正仿宋_GB2312" w:eastAsia="方正仿宋_GB2312" w:cs="方正仿宋_GB2312"/>
          <w:bCs/>
          <w:snapToGrid w:val="0"/>
          <w:color w:val="000000"/>
          <w:kern w:val="0"/>
          <w:sz w:val="28"/>
          <w:szCs w:val="28"/>
          <w:highlight w:val="none"/>
          <w:lang w:val="en-US" w:eastAsia="zh-CN" w:bidi="ar"/>
        </w:rPr>
        <w:t>2</w:t>
      </w:r>
      <w:r>
        <w:rPr>
          <w:rFonts w:hint="eastAsia" w:ascii="方正仿宋_GB2312" w:hAnsi="方正仿宋_GB2312" w:eastAsia="方正仿宋_GB2312" w:cs="方正仿宋_GB2312"/>
          <w:bCs/>
          <w:snapToGrid w:val="0"/>
          <w:color w:val="000000"/>
          <w:kern w:val="0"/>
          <w:sz w:val="28"/>
          <w:szCs w:val="28"/>
          <w:highlight w:val="none"/>
          <w:lang w:bidi="ar"/>
        </w:rPr>
        <w:t>、</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取芯技术服务井段</w:t>
      </w:r>
    </w:p>
    <w:p>
      <w:pPr>
        <w:kinsoku w:val="0"/>
        <w:topLinePunct/>
        <w:autoSpaceDN w:val="0"/>
        <w:spacing w:line="400" w:lineRule="exact"/>
        <w:ind w:firstLine="560" w:firstLineChars="200"/>
        <w:textAlignment w:val="baseline"/>
        <w:rPr>
          <w:rFonts w:ascii="方正仿宋_GB2312" w:hAnsi="方正仿宋_GB2312" w:eastAsia="方正仿宋_GB2312" w:cs="方正仿宋_GB2312"/>
          <w:bCs/>
          <w:snapToGrid w:val="0"/>
          <w:color w:val="000000"/>
          <w:kern w:val="0"/>
          <w:sz w:val="28"/>
          <w:szCs w:val="28"/>
          <w:highlight w:val="none"/>
          <w:lang w:bidi="ar"/>
        </w:rPr>
      </w:pPr>
      <w:r>
        <w:rPr>
          <w:rFonts w:hint="eastAsia" w:ascii="方正仿宋_GB2312" w:hAnsi="方正仿宋_GB2312" w:eastAsia="方正仿宋_GB2312" w:cs="方正仿宋_GB2312"/>
          <w:bCs/>
          <w:snapToGrid w:val="0"/>
          <w:color w:val="000000"/>
          <w:kern w:val="0"/>
          <w:sz w:val="28"/>
          <w:szCs w:val="28"/>
          <w:highlight w:val="none"/>
          <w:lang w:bidi="ar"/>
        </w:rPr>
        <w:t>设计井深1</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180-1500</w:t>
      </w:r>
      <w:r>
        <w:rPr>
          <w:rFonts w:hint="eastAsia" w:ascii="方正仿宋_GB2312" w:hAnsi="方正仿宋_GB2312" w:eastAsia="方正仿宋_GB2312" w:cs="方正仿宋_GB2312"/>
          <w:bCs/>
          <w:snapToGrid w:val="0"/>
          <w:color w:val="000000"/>
          <w:kern w:val="0"/>
          <w:sz w:val="28"/>
          <w:szCs w:val="28"/>
          <w:highlight w:val="none"/>
          <w:lang w:bidi="ar"/>
        </w:rPr>
        <w:t>m，</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取芯长度约为320m,</w:t>
      </w:r>
      <w:r>
        <w:rPr>
          <w:rFonts w:hint="eastAsia" w:ascii="方正仿宋_GB2312" w:hAnsi="方正仿宋_GB2312" w:eastAsia="方正仿宋_GB2312" w:cs="方正仿宋_GB2312"/>
          <w:bCs/>
          <w:snapToGrid w:val="0"/>
          <w:color w:val="000000"/>
          <w:kern w:val="0"/>
          <w:sz w:val="28"/>
          <w:szCs w:val="28"/>
          <w:highlight w:val="none"/>
          <w:lang w:bidi="ar"/>
        </w:rPr>
        <w:t>以</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钻至目的深度为准</w:t>
      </w:r>
      <w:r>
        <w:rPr>
          <w:rFonts w:hint="eastAsia" w:ascii="方正仿宋_GB2312" w:hAnsi="方正仿宋_GB2312" w:eastAsia="方正仿宋_GB2312" w:cs="方正仿宋_GB2312"/>
          <w:bCs/>
          <w:snapToGrid w:val="0"/>
          <w:color w:val="000000"/>
          <w:kern w:val="0"/>
          <w:sz w:val="28"/>
          <w:szCs w:val="28"/>
          <w:highlight w:val="none"/>
          <w:lang w:bidi="ar"/>
        </w:rPr>
        <w:t>（具体终孔层位以甲方及建设方监理单位现场确定为最终依据）。完井井深视现场钻遇地层情况与甲方监理方商议并报甲方确定。钻孔实际深度至少大于设计深度3m，防止底部沉渣过多。钻孔深度偏差不大于±0.5‰。</w:t>
      </w:r>
    </w:p>
    <w:p>
      <w:pPr>
        <w:kinsoku w:val="0"/>
        <w:topLinePunct/>
        <w:autoSpaceDN w:val="0"/>
        <w:spacing w:line="400" w:lineRule="exact"/>
        <w:ind w:firstLine="560" w:firstLineChars="200"/>
        <w:textAlignment w:val="baseline"/>
        <w:rPr>
          <w:rFonts w:ascii="方正仿宋_GB2312" w:hAnsi="方正仿宋_GB2312" w:eastAsia="方正仿宋_GB2312" w:cs="方正仿宋_GB2312"/>
          <w:bCs/>
          <w:snapToGrid w:val="0"/>
          <w:color w:val="000000"/>
          <w:kern w:val="0"/>
          <w:sz w:val="28"/>
          <w:szCs w:val="28"/>
          <w:highlight w:val="none"/>
          <w:lang w:bidi="ar"/>
        </w:rPr>
      </w:pPr>
      <w:r>
        <w:rPr>
          <w:rFonts w:hint="eastAsia" w:ascii="方正仿宋_GB2312" w:hAnsi="方正仿宋_GB2312" w:eastAsia="方正仿宋_GB2312" w:cs="方正仿宋_GB2312"/>
          <w:bCs/>
          <w:snapToGrid w:val="0"/>
          <w:color w:val="000000"/>
          <w:kern w:val="0"/>
          <w:sz w:val="28"/>
          <w:szCs w:val="28"/>
          <w:highlight w:val="none"/>
          <w:lang w:val="en-US" w:eastAsia="zh-CN" w:bidi="ar"/>
        </w:rPr>
        <w:t>3</w:t>
      </w:r>
      <w:r>
        <w:rPr>
          <w:rFonts w:hint="eastAsia" w:ascii="方正仿宋_GB2312" w:hAnsi="方正仿宋_GB2312" w:eastAsia="方正仿宋_GB2312" w:cs="方正仿宋_GB2312"/>
          <w:bCs/>
          <w:snapToGrid w:val="0"/>
          <w:color w:val="000000"/>
          <w:kern w:val="0"/>
          <w:sz w:val="28"/>
          <w:szCs w:val="28"/>
          <w:highlight w:val="none"/>
          <w:lang w:bidi="ar"/>
        </w:rPr>
        <w:t>、取芯</w:t>
      </w:r>
    </w:p>
    <w:p>
      <w:pPr>
        <w:kinsoku w:val="0"/>
        <w:topLinePunct/>
        <w:autoSpaceDN w:val="0"/>
        <w:spacing w:line="400" w:lineRule="exact"/>
        <w:ind w:firstLine="560" w:firstLineChars="200"/>
        <w:textAlignment w:val="baseline"/>
        <w:rPr>
          <w:highlight w:val="none"/>
        </w:rPr>
      </w:pPr>
      <w:r>
        <w:rPr>
          <w:rFonts w:hint="eastAsia" w:ascii="方正仿宋_GB2312" w:hAnsi="方正仿宋_GB2312" w:eastAsia="方正仿宋_GB2312" w:cs="方正仿宋_GB2312"/>
          <w:bCs/>
          <w:snapToGrid w:val="0"/>
          <w:color w:val="000000"/>
          <w:kern w:val="0"/>
          <w:sz w:val="28"/>
          <w:szCs w:val="28"/>
          <w:highlight w:val="none"/>
          <w:lang w:bidi="ar"/>
        </w:rPr>
        <w:t>需进行全井段取芯技术服务，井段为</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1180</w:t>
      </w:r>
      <w:r>
        <w:rPr>
          <w:rFonts w:hint="eastAsia" w:ascii="方正仿宋_GB2312" w:hAnsi="方正仿宋_GB2312" w:eastAsia="方正仿宋_GB2312" w:cs="方正仿宋_GB2312"/>
          <w:bCs/>
          <w:snapToGrid w:val="0"/>
          <w:color w:val="000000"/>
          <w:kern w:val="0"/>
          <w:sz w:val="28"/>
          <w:szCs w:val="28"/>
          <w:highlight w:val="none"/>
          <w:lang w:bidi="ar"/>
        </w:rPr>
        <w:t>-1</w:t>
      </w:r>
      <w:r>
        <w:rPr>
          <w:rFonts w:hint="eastAsia" w:ascii="方正仿宋_GB2312" w:hAnsi="方正仿宋_GB2312" w:eastAsia="方正仿宋_GB2312" w:cs="方正仿宋_GB2312"/>
          <w:bCs/>
          <w:snapToGrid w:val="0"/>
          <w:color w:val="000000"/>
          <w:kern w:val="0"/>
          <w:sz w:val="28"/>
          <w:szCs w:val="28"/>
          <w:highlight w:val="none"/>
          <w:lang w:val="en-US" w:eastAsia="zh-CN" w:bidi="ar"/>
        </w:rPr>
        <w:t>5</w:t>
      </w:r>
      <w:r>
        <w:rPr>
          <w:rFonts w:hint="eastAsia" w:ascii="方正仿宋_GB2312" w:hAnsi="方正仿宋_GB2312" w:eastAsia="方正仿宋_GB2312" w:cs="方正仿宋_GB2312"/>
          <w:bCs/>
          <w:snapToGrid w:val="0"/>
          <w:color w:val="000000"/>
          <w:kern w:val="0"/>
          <w:sz w:val="28"/>
          <w:szCs w:val="28"/>
          <w:highlight w:val="none"/>
          <w:lang w:bidi="ar"/>
        </w:rPr>
        <w:t>00m，取芯过程中，均匀施加钻压，保证岩心钻取率。采取上的岩心要及时出筒，岩心要完整清洁，保持矿心的本色和结构顺序，只能用饱和盐水擦洗岩心，防溶蚀；现场地质技术人员及时编录描述，做好分层记录，对不同的岩性单层厚度大于10cm者要进行分层描述。</w:t>
      </w:r>
    </w:p>
    <w:p>
      <w:pPr>
        <w:pStyle w:val="2"/>
        <w:rPr>
          <w:highlight w:val="none"/>
        </w:rPr>
      </w:pPr>
    </w:p>
    <w:bookmarkEnd w:id="12"/>
    <w:p>
      <w:pPr>
        <w:pStyle w:val="5"/>
        <w:spacing w:before="0" w:after="0" w:line="660" w:lineRule="exact"/>
        <w:jc w:val="center"/>
        <w:rPr>
          <w:rFonts w:ascii="宋体" w:hAnsi="宋体" w:cs="宋体"/>
          <w:b w:val="0"/>
          <w:kern w:val="2"/>
          <w:sz w:val="32"/>
          <w:szCs w:val="32"/>
          <w:highlight w:val="none"/>
        </w:rPr>
      </w:pPr>
    </w:p>
    <w:p>
      <w:pPr>
        <w:pStyle w:val="5"/>
        <w:spacing w:before="0" w:after="0" w:line="660" w:lineRule="exact"/>
        <w:jc w:val="center"/>
        <w:rPr>
          <w:highlight w:val="none"/>
        </w:rPr>
      </w:pPr>
      <w:r>
        <w:rPr>
          <w:rFonts w:hint="eastAsia" w:ascii="方正小标宋简体" w:hAnsi="仿宋_GB2312" w:eastAsia="方正小标宋简体"/>
          <w:b w:val="0"/>
          <w:bCs/>
          <w:color w:val="000000"/>
          <w:szCs w:val="44"/>
          <w:highlight w:val="none"/>
        </w:rPr>
        <w:br w:type="page"/>
      </w:r>
    </w:p>
    <w:p>
      <w:pPr>
        <w:pStyle w:val="5"/>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第五章  谈判响应文件格式</w:t>
      </w:r>
      <w:bookmarkEnd w:id="13"/>
      <w:bookmarkEnd w:id="14"/>
      <w:bookmarkEnd w:id="15"/>
      <w:bookmarkEnd w:id="16"/>
    </w:p>
    <w:p>
      <w:pPr>
        <w:spacing w:line="360" w:lineRule="auto"/>
        <w:ind w:firstLine="900" w:firstLineChars="249"/>
        <w:rPr>
          <w:rFonts w:ascii="仿宋_GB2312" w:eastAsia="仿宋_GB2312"/>
          <w:b/>
          <w:bCs/>
          <w:sz w:val="36"/>
          <w:szCs w:val="36"/>
          <w:highlight w:val="none"/>
          <w:u w:val="singl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34" w:name="_Toc256691561"/>
      <w:bookmarkStart w:id="35" w:name="_Toc256695437"/>
      <w:r>
        <w:rPr>
          <w:rFonts w:hint="eastAsia" w:ascii="仿宋_GB2312" w:eastAsia="仿宋_GB2312"/>
          <w:b/>
          <w:bCs/>
          <w:sz w:val="36"/>
          <w:szCs w:val="36"/>
          <w:highlight w:val="none"/>
        </w:rPr>
        <w:t>(项目名称)</w:t>
      </w:r>
      <w:bookmarkEnd w:id="34"/>
      <w:bookmarkEnd w:id="35"/>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36" w:name="_Toc256695438"/>
      <w:bookmarkStart w:id="37" w:name="_Toc256691562"/>
      <w:r>
        <w:rPr>
          <w:rFonts w:hint="eastAsia" w:ascii="仿宋_GB2312" w:hAnsi="Cambria" w:eastAsia="仿宋_GB2312"/>
          <w:b/>
          <w:spacing w:val="-20"/>
          <w:sz w:val="52"/>
          <w:szCs w:val="52"/>
          <w:highlight w:val="none"/>
        </w:rPr>
        <w:t>谈 判 响 应 文 件</w:t>
      </w:r>
      <w:bookmarkEnd w:id="36"/>
      <w:bookmarkEnd w:id="37"/>
    </w:p>
    <w:p>
      <w:pPr>
        <w:jc w:val="center"/>
        <w:rPr>
          <w:rFonts w:ascii="仿宋_GB2312" w:eastAsia="仿宋_GB2312"/>
          <w:sz w:val="32"/>
          <w:szCs w:val="32"/>
          <w:highlight w:val="none"/>
        </w:rPr>
      </w:pPr>
    </w:p>
    <w:p>
      <w:pPr>
        <w:jc w:val="center"/>
        <w:rPr>
          <w:rFonts w:ascii="仿宋_GB2312" w:hAnsi="宋体" w:eastAsia="仿宋_GB2312"/>
          <w:sz w:val="32"/>
          <w:szCs w:val="32"/>
          <w:highlight w:val="none"/>
        </w:rPr>
      </w:pPr>
      <w:bookmarkStart w:id="38" w:name="_Toc256691563"/>
      <w:bookmarkStart w:id="39" w:name="_Toc256695439"/>
      <w:r>
        <w:rPr>
          <w:rFonts w:hint="eastAsia" w:ascii="仿宋_GB2312" w:hAnsi="宋体" w:eastAsia="仿宋_GB2312"/>
          <w:sz w:val="32"/>
          <w:szCs w:val="32"/>
          <w:highlight w:val="none"/>
        </w:rPr>
        <w:t>项目编号：(         )</w:t>
      </w:r>
      <w:bookmarkEnd w:id="38"/>
      <w:bookmarkEnd w:id="39"/>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40" w:name="_Toc256691564"/>
      <w:bookmarkStart w:id="41" w:name="_Toc256695440"/>
      <w:r>
        <w:rPr>
          <w:rFonts w:hint="eastAsia" w:ascii="仿宋_GB2312" w:eastAsia="仿宋_GB2312"/>
          <w:b/>
          <w:sz w:val="32"/>
          <w:szCs w:val="32"/>
          <w:highlight w:val="none"/>
        </w:rPr>
        <w:t xml:space="preserve">         谈判响应人：</w:t>
      </w:r>
      <w:bookmarkEnd w:id="40"/>
      <w:bookmarkEnd w:id="41"/>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ascii="仿宋_GB2312" w:eastAsia="仿宋_GB2312"/>
          <w:b/>
          <w:sz w:val="32"/>
          <w:szCs w:val="32"/>
          <w:highlight w:val="none"/>
        </w:rPr>
      </w:pPr>
      <w:bookmarkStart w:id="42" w:name="_Toc256691565"/>
      <w:bookmarkStart w:id="43"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42"/>
      <w:bookmarkEnd w:id="43"/>
    </w:p>
    <w:p>
      <w:pPr>
        <w:jc w:val="center"/>
        <w:rPr>
          <w:rStyle w:val="29"/>
          <w:rFonts w:ascii="宋体" w:hAnsi="宋体" w:cstheme="minorBidi"/>
          <w:b w:val="0"/>
          <w:highlight w:val="none"/>
        </w:rPr>
      </w:pPr>
      <w:bookmarkStart w:id="44" w:name="_Toc96584968"/>
      <w:bookmarkStart w:id="45" w:name="_Toc96585094"/>
      <w:r>
        <w:rPr>
          <w:rStyle w:val="29"/>
          <w:rFonts w:hint="eastAsia" w:ascii="宋体" w:hAnsi="宋体" w:cstheme="minorBidi"/>
          <w:b w:val="0"/>
          <w:highlight w:val="none"/>
        </w:rPr>
        <w:t>目  录</w:t>
      </w:r>
      <w:bookmarkEnd w:id="44"/>
      <w:bookmarkEnd w:id="45"/>
    </w:p>
    <w:p>
      <w:pPr>
        <w:numPr>
          <w:ilvl w:val="0"/>
          <w:numId w:val="3"/>
        </w:numPr>
        <w:spacing w:line="240" w:lineRule="atLeast"/>
        <w:rPr>
          <w:rFonts w:ascii="宋体" w:hAnsi="宋体" w:cs="宋体"/>
          <w:sz w:val="32"/>
          <w:szCs w:val="32"/>
          <w:highlight w:val="none"/>
        </w:rPr>
      </w:pPr>
      <w:bookmarkStart w:id="46" w:name="_Toc256691586"/>
      <w:bookmarkStart w:id="47" w:name="_Toc256695462"/>
      <w:r>
        <w:rPr>
          <w:rFonts w:hint="eastAsia" w:ascii="宋体" w:hAnsi="宋体" w:cs="宋体"/>
          <w:sz w:val="32"/>
          <w:szCs w:val="32"/>
          <w:highlight w:val="none"/>
          <w:lang w:val="en-US" w:eastAsia="zh-CN"/>
        </w:rPr>
        <w:t>响应</w:t>
      </w:r>
      <w:r>
        <w:rPr>
          <w:rFonts w:hint="eastAsia" w:ascii="宋体" w:hAnsi="宋体" w:cs="宋体"/>
          <w:sz w:val="32"/>
          <w:szCs w:val="32"/>
          <w:highlight w:val="none"/>
        </w:rPr>
        <w:t>函</w:t>
      </w:r>
      <w:bookmarkEnd w:id="46"/>
      <w:bookmarkEnd w:id="47"/>
    </w:p>
    <w:p>
      <w:pPr>
        <w:numPr>
          <w:ilvl w:val="0"/>
          <w:numId w:val="3"/>
        </w:numPr>
        <w:spacing w:line="240" w:lineRule="atLeast"/>
        <w:rPr>
          <w:rFonts w:ascii="宋体" w:hAnsi="宋体" w:cs="宋体"/>
          <w:sz w:val="32"/>
          <w:szCs w:val="32"/>
          <w:highlight w:val="none"/>
        </w:rPr>
      </w:pPr>
      <w:r>
        <w:rPr>
          <w:rFonts w:hint="eastAsia" w:ascii="宋体" w:hAnsi="宋体" w:cs="宋体"/>
          <w:sz w:val="32"/>
          <w:szCs w:val="32"/>
          <w:highlight w:val="none"/>
        </w:rPr>
        <w:t>报价表</w:t>
      </w:r>
    </w:p>
    <w:p>
      <w:pPr>
        <w:spacing w:line="240" w:lineRule="atLeast"/>
        <w:rPr>
          <w:rFonts w:ascii="宋体" w:hAnsi="宋体" w:cs="宋体"/>
          <w:sz w:val="32"/>
          <w:szCs w:val="32"/>
          <w:highlight w:val="none"/>
        </w:rPr>
      </w:pPr>
      <w:bookmarkStart w:id="48" w:name="_Toc256691587"/>
      <w:bookmarkStart w:id="49" w:name="_Toc256695463"/>
      <w:r>
        <w:rPr>
          <w:rFonts w:hint="eastAsia" w:ascii="宋体" w:hAnsi="宋体" w:cs="宋体"/>
          <w:sz w:val="32"/>
          <w:szCs w:val="32"/>
          <w:highlight w:val="none"/>
        </w:rPr>
        <w:t>三、法定代表人身份证明</w:t>
      </w:r>
      <w:bookmarkEnd w:id="48"/>
      <w:bookmarkEnd w:id="49"/>
      <w:r>
        <w:rPr>
          <w:rFonts w:hint="eastAsia" w:ascii="宋体" w:hAnsi="宋体" w:cs="宋体"/>
          <w:sz w:val="32"/>
          <w:szCs w:val="32"/>
          <w:highlight w:val="none"/>
        </w:rPr>
        <w:t>书</w:t>
      </w:r>
    </w:p>
    <w:p>
      <w:pPr>
        <w:spacing w:line="240" w:lineRule="atLeast"/>
        <w:rPr>
          <w:rFonts w:ascii="宋体" w:hAnsi="宋体" w:cs="宋体"/>
          <w:sz w:val="32"/>
          <w:szCs w:val="32"/>
          <w:highlight w:val="none"/>
        </w:rPr>
      </w:pPr>
      <w:bookmarkStart w:id="50" w:name="_Toc256695464"/>
      <w:bookmarkStart w:id="51" w:name="_Toc256691588"/>
      <w:r>
        <w:rPr>
          <w:rFonts w:hint="eastAsia" w:ascii="宋体" w:hAnsi="宋体" w:cs="宋体"/>
          <w:sz w:val="32"/>
          <w:szCs w:val="32"/>
          <w:highlight w:val="none"/>
        </w:rPr>
        <w:t>四、</w:t>
      </w:r>
      <w:bookmarkEnd w:id="17"/>
      <w:bookmarkEnd w:id="50"/>
      <w:bookmarkEnd w:id="51"/>
      <w:r>
        <w:rPr>
          <w:rFonts w:hint="eastAsia" w:ascii="宋体" w:hAnsi="宋体" w:cs="宋体"/>
          <w:sz w:val="32"/>
          <w:szCs w:val="32"/>
          <w:highlight w:val="none"/>
        </w:rPr>
        <w:t>法定代表人授权书</w:t>
      </w:r>
    </w:p>
    <w:p>
      <w:pPr>
        <w:spacing w:line="240" w:lineRule="atLeast"/>
        <w:rPr>
          <w:rFonts w:ascii="宋体" w:hAnsi="宋体" w:cs="宋体"/>
          <w:sz w:val="32"/>
          <w:szCs w:val="32"/>
          <w:highlight w:val="none"/>
        </w:rPr>
      </w:pPr>
      <w:r>
        <w:rPr>
          <w:rFonts w:hint="eastAsia" w:ascii="宋体" w:hAnsi="宋体" w:cs="宋体"/>
          <w:sz w:val="32"/>
          <w:szCs w:val="32"/>
          <w:highlight w:val="none"/>
        </w:rPr>
        <w:t>五、供应商廉洁承诺书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六、近三年内在经营活动中无违法处罚记录承诺书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七、业绩证明</w:t>
      </w:r>
    </w:p>
    <w:p>
      <w:pPr>
        <w:spacing w:line="240" w:lineRule="atLeast"/>
        <w:rPr>
          <w:rFonts w:ascii="宋体" w:hAnsi="宋体" w:cs="宋体"/>
          <w:sz w:val="32"/>
          <w:szCs w:val="32"/>
          <w:highlight w:val="none"/>
        </w:rPr>
      </w:pPr>
      <w:r>
        <w:rPr>
          <w:rFonts w:hint="eastAsia" w:ascii="宋体" w:hAnsi="宋体" w:cs="宋体"/>
          <w:sz w:val="32"/>
          <w:szCs w:val="32"/>
          <w:highlight w:val="none"/>
        </w:rPr>
        <w:t>八、资格证明文件</w:t>
      </w:r>
    </w:p>
    <w:p>
      <w:pPr>
        <w:spacing w:line="240" w:lineRule="atLeast"/>
        <w:rPr>
          <w:rFonts w:ascii="宋体" w:hAnsi="宋体" w:cs="宋体"/>
          <w:sz w:val="32"/>
          <w:szCs w:val="32"/>
          <w:highlight w:val="none"/>
        </w:rPr>
      </w:pPr>
    </w:p>
    <w:p>
      <w:pPr>
        <w:rPr>
          <w:rStyle w:val="29"/>
          <w:rFonts w:ascii="宋体" w:hAnsi="宋体"/>
          <w:b w:val="0"/>
          <w:highlight w:val="none"/>
        </w:rPr>
      </w:pPr>
      <w:r>
        <w:rPr>
          <w:rStyle w:val="29"/>
          <w:rFonts w:hint="eastAsia" w:ascii="宋体" w:hAnsi="宋体"/>
          <w:b w:val="0"/>
          <w:highlight w:val="none"/>
        </w:rPr>
        <w:br w:type="page"/>
      </w:r>
    </w:p>
    <w:p>
      <w:pPr>
        <w:jc w:val="center"/>
        <w:rPr>
          <w:rStyle w:val="29"/>
          <w:rFonts w:ascii="宋体" w:hAnsi="宋体"/>
          <w:b w:val="0"/>
          <w:highlight w:val="none"/>
        </w:rPr>
      </w:pPr>
      <w:r>
        <w:rPr>
          <w:rStyle w:val="29"/>
          <w:rFonts w:hint="eastAsia" w:ascii="宋体" w:hAnsi="宋体"/>
          <w:b w:val="0"/>
          <w:highlight w:val="none"/>
        </w:rPr>
        <w:t>一、</w:t>
      </w:r>
      <w:r>
        <w:rPr>
          <w:rStyle w:val="29"/>
          <w:rFonts w:hint="eastAsia" w:ascii="宋体" w:hAnsi="宋体"/>
          <w:b w:val="0"/>
          <w:highlight w:val="none"/>
          <w:lang w:val="en-US"/>
        </w:rPr>
        <w:t>响应</w:t>
      </w:r>
      <w:r>
        <w:rPr>
          <w:rStyle w:val="29"/>
          <w:rFonts w:ascii="宋体" w:hAnsi="宋体"/>
          <w:b w:val="0"/>
          <w:highlight w:val="none"/>
        </w:rPr>
        <w:t>函</w:t>
      </w:r>
    </w:p>
    <w:bookmarkEnd w:id="18"/>
    <w:bookmarkEnd w:id="19"/>
    <w:p>
      <w:pPr>
        <w:spacing w:line="560" w:lineRule="exact"/>
        <w:rPr>
          <w:rFonts w:ascii="宋体" w:hAnsi="宋体" w:cs="宋体"/>
          <w:sz w:val="32"/>
          <w:szCs w:val="32"/>
          <w:highlight w:val="none"/>
        </w:rPr>
      </w:pPr>
      <w:r>
        <w:rPr>
          <w:rFonts w:hint="eastAsia" w:ascii="宋体" w:hAnsi="宋体" w:cs="宋体"/>
          <w:sz w:val="32"/>
          <w:szCs w:val="32"/>
          <w:highlight w:val="none"/>
        </w:rPr>
        <w:t>江苏长江地质勘查院：</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w:t>
      </w:r>
      <w:r>
        <w:rPr>
          <w:rFonts w:hint="eastAsia" w:ascii="宋体" w:hAnsi="宋体" w:cs="宋体"/>
          <w:sz w:val="32"/>
          <w:szCs w:val="32"/>
          <w:highlight w:val="none"/>
          <w:lang w:val="en-US" w:eastAsia="zh-CN"/>
        </w:rPr>
        <w:t>响应</w:t>
      </w:r>
      <w:r>
        <w:rPr>
          <w:rFonts w:hint="eastAsia" w:ascii="宋体" w:hAnsi="宋体" w:cs="宋体"/>
          <w:sz w:val="32"/>
          <w:szCs w:val="32"/>
          <w:highlight w:val="none"/>
        </w:rPr>
        <w:t>人全称）授权（全权代表姓名、职务、职称）为全权代表，参加贵方组织的（采购编号、项目名称）的有关活动，为此：</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1.提供投标人须知规定的全部</w:t>
      </w:r>
      <w:r>
        <w:rPr>
          <w:rFonts w:hint="eastAsia" w:ascii="宋体" w:hAnsi="宋体" w:cs="宋体"/>
          <w:sz w:val="32"/>
          <w:szCs w:val="32"/>
          <w:highlight w:val="none"/>
          <w:lang w:val="en-US" w:eastAsia="zh-CN"/>
        </w:rPr>
        <w:t>响应</w:t>
      </w:r>
      <w:r>
        <w:rPr>
          <w:rFonts w:hint="eastAsia" w:ascii="宋体" w:hAnsi="宋体" w:cs="宋体"/>
          <w:sz w:val="32"/>
          <w:szCs w:val="32"/>
          <w:highlight w:val="none"/>
        </w:rPr>
        <w:t>文件（正本[ 1 ]份，副本[1]份、电子版[ 1 ]份）。</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2.提供按采购文件要求的货物/服务的报价。（详见 附件）。</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3.我方将按采购文件的规定履行全部责任和义务。</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4.我方已详细审查全部采购文件，我们完全理解并同意放弃对采购文件提出质疑及/或争议的权利。</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5.我方递交</w:t>
      </w:r>
      <w:r>
        <w:rPr>
          <w:rFonts w:hint="eastAsia" w:ascii="宋体" w:hAnsi="宋体" w:cs="宋体"/>
          <w:sz w:val="32"/>
          <w:szCs w:val="32"/>
          <w:highlight w:val="none"/>
          <w:lang w:val="en-US" w:eastAsia="zh-CN"/>
        </w:rPr>
        <w:t>响应</w:t>
      </w:r>
      <w:r>
        <w:rPr>
          <w:rFonts w:hint="eastAsia" w:ascii="宋体" w:hAnsi="宋体" w:cs="宋体"/>
          <w:sz w:val="32"/>
          <w:szCs w:val="32"/>
          <w:highlight w:val="none"/>
        </w:rPr>
        <w:t>文件的有效期为自递交</w:t>
      </w:r>
      <w:r>
        <w:rPr>
          <w:rFonts w:hint="eastAsia" w:ascii="宋体" w:hAnsi="宋体" w:cs="宋体"/>
          <w:sz w:val="32"/>
          <w:szCs w:val="32"/>
          <w:highlight w:val="none"/>
          <w:lang w:val="en-US" w:eastAsia="zh-CN"/>
        </w:rPr>
        <w:t>响应</w:t>
      </w:r>
      <w:r>
        <w:rPr>
          <w:rFonts w:hint="eastAsia" w:ascii="宋体" w:hAnsi="宋体" w:cs="宋体"/>
          <w:sz w:val="32"/>
          <w:szCs w:val="32"/>
          <w:highlight w:val="none"/>
        </w:rPr>
        <w:t>文件截止日起 90 个日历日。</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6.我方愿意向贵方提供任何与该项</w:t>
      </w:r>
      <w:r>
        <w:rPr>
          <w:rFonts w:hint="eastAsia" w:ascii="宋体" w:hAnsi="宋体" w:cs="宋体"/>
          <w:sz w:val="32"/>
          <w:szCs w:val="32"/>
          <w:highlight w:val="none"/>
          <w:lang w:val="en-US" w:eastAsia="zh-CN"/>
        </w:rPr>
        <w:t>响应</w:t>
      </w:r>
      <w:r>
        <w:rPr>
          <w:rFonts w:hint="eastAsia" w:ascii="宋体" w:hAnsi="宋体" w:cs="宋体"/>
          <w:sz w:val="32"/>
          <w:szCs w:val="32"/>
          <w:highlight w:val="none"/>
        </w:rPr>
        <w:t>文件有关的数据、情况和技术资料，完全理解贵方不一定接受最低价的投标文件或收到的任何投标文件。</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7.我方授权贵方查询或调查我们递交的与本</w:t>
      </w:r>
      <w:r>
        <w:rPr>
          <w:rFonts w:hint="eastAsia" w:ascii="宋体" w:hAnsi="宋体" w:cs="宋体"/>
          <w:sz w:val="32"/>
          <w:szCs w:val="32"/>
          <w:highlight w:val="none"/>
          <w:lang w:val="en-US" w:eastAsia="zh-CN"/>
        </w:rPr>
        <w:t>响应</w:t>
      </w:r>
      <w:r>
        <w:rPr>
          <w:rFonts w:hint="eastAsia" w:ascii="宋体" w:hAnsi="宋体" w:cs="宋体"/>
          <w:sz w:val="32"/>
          <w:szCs w:val="32"/>
          <w:highlight w:val="none"/>
        </w:rPr>
        <w:t>文件有关的声明、文件和资料，并同意在贵方的要求下提供相关文件或证书的原件及其他相关书面材料，以及通过我们的开户银行和客户澄清</w:t>
      </w:r>
      <w:r>
        <w:rPr>
          <w:rFonts w:hint="eastAsia" w:ascii="宋体" w:hAnsi="宋体" w:cs="宋体"/>
          <w:sz w:val="32"/>
          <w:szCs w:val="32"/>
          <w:highlight w:val="none"/>
          <w:lang w:val="en-US" w:eastAsia="zh-CN"/>
        </w:rPr>
        <w:t>响应</w:t>
      </w:r>
      <w:r>
        <w:rPr>
          <w:rFonts w:hint="eastAsia" w:ascii="宋体" w:hAnsi="宋体" w:cs="宋体"/>
          <w:sz w:val="32"/>
          <w:szCs w:val="32"/>
          <w:highlight w:val="none"/>
        </w:rPr>
        <w:t>文件中有关财务和技术方面的问题。</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8.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9.我方在本次</w:t>
      </w:r>
      <w:r>
        <w:rPr>
          <w:rFonts w:hint="eastAsia" w:ascii="宋体" w:hAnsi="宋体" w:cs="宋体"/>
          <w:sz w:val="32"/>
          <w:szCs w:val="32"/>
          <w:highlight w:val="none"/>
          <w:lang w:val="en-US" w:eastAsia="zh-CN"/>
        </w:rPr>
        <w:t>采购</w:t>
      </w:r>
      <w:r>
        <w:rPr>
          <w:rFonts w:hint="eastAsia" w:ascii="宋体" w:hAnsi="宋体" w:cs="宋体"/>
          <w:sz w:val="32"/>
          <w:szCs w:val="32"/>
          <w:highlight w:val="none"/>
        </w:rPr>
        <w:t>活动中绝无资质挂靠、串标、围标情形，若经贵方查出，立即取消我方</w:t>
      </w:r>
      <w:r>
        <w:rPr>
          <w:rFonts w:hint="eastAsia" w:ascii="宋体" w:hAnsi="宋体" w:cs="宋体"/>
          <w:sz w:val="32"/>
          <w:szCs w:val="32"/>
          <w:highlight w:val="none"/>
          <w:lang w:val="en-US" w:eastAsia="zh-CN"/>
        </w:rPr>
        <w:t>响应</w:t>
      </w:r>
      <w:r>
        <w:rPr>
          <w:rFonts w:hint="eastAsia" w:ascii="宋体" w:hAnsi="宋体" w:cs="宋体"/>
          <w:sz w:val="32"/>
          <w:szCs w:val="32"/>
          <w:highlight w:val="none"/>
        </w:rPr>
        <w:t>资格并承担相应的法律责任。</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10.我方未被地市级及以上行政主管部门做出取消</w:t>
      </w:r>
      <w:r>
        <w:rPr>
          <w:rFonts w:hint="eastAsia" w:ascii="宋体" w:hAnsi="宋体" w:cs="宋体"/>
          <w:sz w:val="32"/>
          <w:szCs w:val="32"/>
          <w:highlight w:val="none"/>
          <w:lang w:val="en-US" w:eastAsia="zh-CN"/>
        </w:rPr>
        <w:t>响应</w:t>
      </w:r>
      <w:r>
        <w:rPr>
          <w:rFonts w:hint="eastAsia" w:ascii="宋体" w:hAnsi="宋体" w:cs="宋体"/>
          <w:sz w:val="32"/>
          <w:szCs w:val="32"/>
          <w:highlight w:val="none"/>
        </w:rPr>
        <w:t>资格的处罚且该处罚在有效期内的。</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11.我方在以往的采购活动中，无重大违法、违规的不良记录；</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12.与本</w:t>
      </w:r>
      <w:r>
        <w:rPr>
          <w:rFonts w:hint="eastAsia" w:ascii="宋体" w:hAnsi="宋体" w:cs="宋体"/>
          <w:sz w:val="32"/>
          <w:szCs w:val="32"/>
          <w:highlight w:val="none"/>
          <w:lang w:val="en-US" w:eastAsia="zh-CN"/>
        </w:rPr>
        <w:t>响应</w:t>
      </w:r>
      <w:r>
        <w:rPr>
          <w:rFonts w:hint="eastAsia" w:ascii="宋体" w:hAnsi="宋体" w:cs="宋体"/>
          <w:sz w:val="32"/>
          <w:szCs w:val="32"/>
          <w:highlight w:val="none"/>
        </w:rPr>
        <w:t>文件有关的一切往来通讯请寄：</w:t>
      </w:r>
    </w:p>
    <w:p>
      <w:pPr>
        <w:spacing w:line="560" w:lineRule="exact"/>
        <w:ind w:firstLine="640" w:firstLineChars="200"/>
        <w:rPr>
          <w:rFonts w:ascii="宋体" w:hAnsi="宋体" w:cs="宋体"/>
          <w:sz w:val="32"/>
          <w:szCs w:val="32"/>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地    址：               传    真：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电    话：               电子函件：</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val="en-US" w:eastAsia="zh-CN"/>
        </w:rPr>
        <w:t>响应</w:t>
      </w:r>
      <w:r>
        <w:rPr>
          <w:rFonts w:hint="eastAsia" w:ascii="宋体" w:hAnsi="宋体" w:cs="宋体"/>
          <w:sz w:val="32"/>
          <w:szCs w:val="32"/>
          <w:highlight w:val="none"/>
        </w:rPr>
        <w:t>人名称（盖章）：</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val="en-US" w:eastAsia="zh-CN"/>
        </w:rPr>
        <w:t>响应</w:t>
      </w:r>
      <w:r>
        <w:rPr>
          <w:rFonts w:hint="eastAsia" w:ascii="宋体" w:hAnsi="宋体" w:cs="宋体"/>
          <w:sz w:val="32"/>
          <w:szCs w:val="32"/>
          <w:highlight w:val="none"/>
        </w:rPr>
        <w:t>人授权代表（签字）：</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日期：</w:t>
      </w:r>
    </w:p>
    <w:p>
      <w:pPr>
        <w:spacing w:line="560" w:lineRule="exact"/>
        <w:ind w:firstLine="640" w:firstLineChars="200"/>
        <w:rPr>
          <w:rFonts w:ascii="宋体" w:hAnsi="宋体" w:cs="宋体"/>
          <w:sz w:val="32"/>
          <w:szCs w:val="32"/>
          <w:highlight w:val="none"/>
        </w:rPr>
      </w:pPr>
    </w:p>
    <w:p>
      <w:pPr>
        <w:pStyle w:val="4"/>
        <w:rPr>
          <w:highlight w:val="none"/>
        </w:rPr>
      </w:pPr>
    </w:p>
    <w:p>
      <w:pPr>
        <w:pStyle w:val="3"/>
        <w:spacing w:line="530" w:lineRule="exact"/>
        <w:rPr>
          <w:sz w:val="32"/>
          <w:szCs w:val="32"/>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rPr>
          <w:highlight w:val="none"/>
        </w:rPr>
      </w:pPr>
    </w:p>
    <w:p>
      <w:pPr>
        <w:jc w:val="center"/>
        <w:rPr>
          <w:rStyle w:val="29"/>
          <w:rFonts w:ascii="宋体" w:hAnsi="宋体" w:cstheme="minorBidi"/>
          <w:b w:val="0"/>
          <w:highlight w:val="none"/>
        </w:rPr>
      </w:pPr>
      <w:r>
        <w:rPr>
          <w:rStyle w:val="29"/>
          <w:rFonts w:hint="eastAsia" w:ascii="宋体" w:hAnsi="宋体" w:cstheme="minorBidi"/>
          <w:b w:val="0"/>
          <w:highlight w:val="none"/>
        </w:rPr>
        <w:t>二、报价表</w:t>
      </w:r>
    </w:p>
    <w:p>
      <w:pPr>
        <w:pStyle w:val="30"/>
        <w:rPr>
          <w:rFonts w:ascii="仿宋_GB2312" w:hAnsi="仿宋_GB2312" w:eastAsia="仿宋_GB2312" w:cs="仿宋_GB2312"/>
          <w:bCs/>
          <w:sz w:val="28"/>
          <w:szCs w:val="28"/>
          <w:highlight w:val="none"/>
        </w:rPr>
      </w:pPr>
    </w:p>
    <w:p>
      <w:pPr>
        <w:pStyle w:val="30"/>
        <w:rPr>
          <w:rFonts w:ascii="仿宋_GB2312" w:hAnsi="仿宋_GB2312" w:eastAsia="仿宋_GB2312" w:cs="仿宋_GB2312"/>
          <w:bCs/>
          <w:sz w:val="28"/>
          <w:szCs w:val="28"/>
          <w:highlight w:val="none"/>
        </w:rPr>
      </w:pPr>
    </w:p>
    <w:p>
      <w:pPr>
        <w:spacing w:line="560" w:lineRule="exact"/>
        <w:jc w:val="center"/>
        <w:rPr>
          <w:b/>
          <w:sz w:val="28"/>
          <w:szCs w:val="28"/>
          <w:highlight w:val="none"/>
        </w:rPr>
      </w:pPr>
      <w:r>
        <w:rPr>
          <w:rFonts w:hint="eastAsia" w:ascii="仿宋_GB2312" w:hAnsi="仿宋_GB2312" w:eastAsia="仿宋_GB2312" w:cs="仿宋_GB2312"/>
          <w:b/>
          <w:sz w:val="30"/>
          <w:szCs w:val="30"/>
          <w:highlight w:val="none"/>
        </w:rPr>
        <w:t>地面沉降标孔建设</w:t>
      </w:r>
      <w:r>
        <w:rPr>
          <w:rFonts w:hint="eastAsia" w:ascii="仿宋_GB2312" w:hAnsi="仿宋_GB2312" w:eastAsia="仿宋_GB2312" w:cs="仿宋_GB2312"/>
          <w:b/>
          <w:sz w:val="30"/>
          <w:szCs w:val="30"/>
          <w:highlight w:val="none"/>
          <w:lang w:val="en-US" w:eastAsia="zh-CN"/>
        </w:rPr>
        <w:t>淮安</w:t>
      </w:r>
      <w:r>
        <w:rPr>
          <w:rFonts w:hint="eastAsia" w:ascii="仿宋_GB2312" w:hAnsi="仿宋_GB2312" w:eastAsia="仿宋_GB2312" w:cs="仿宋_GB2312"/>
          <w:b/>
          <w:sz w:val="30"/>
          <w:szCs w:val="30"/>
          <w:highlight w:val="none"/>
        </w:rPr>
        <w:t>地区取芯技术服务报价表</w:t>
      </w:r>
      <w:r>
        <w:rPr>
          <w:b/>
          <w:sz w:val="28"/>
          <w:szCs w:val="28"/>
          <w:highlight w:val="none"/>
        </w:rPr>
        <w:t xml:space="preserve"> </w:t>
      </w:r>
    </w:p>
    <w:p>
      <w:pPr>
        <w:spacing w:line="56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投标人名称：</w:t>
      </w:r>
    </w:p>
    <w:p>
      <w:pPr>
        <w:pStyle w:val="2"/>
        <w:rPr>
          <w:highlight w:val="none"/>
        </w:rPr>
      </w:pPr>
    </w:p>
    <w:tbl>
      <w:tblPr>
        <w:tblStyle w:val="23"/>
        <w:tblW w:w="10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3"/>
        <w:gridCol w:w="475"/>
        <w:gridCol w:w="1845"/>
        <w:gridCol w:w="1365"/>
        <w:gridCol w:w="1608"/>
        <w:gridCol w:w="96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2348" w:type="dxa"/>
            <w:gridSpan w:val="2"/>
            <w:vAlign w:val="center"/>
          </w:tcPr>
          <w:p>
            <w:pPr>
              <w:pStyle w:val="40"/>
              <w:jc w:val="center"/>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项目名称</w:t>
            </w:r>
          </w:p>
        </w:tc>
        <w:tc>
          <w:tcPr>
            <w:tcW w:w="1845" w:type="dxa"/>
            <w:vAlign w:val="center"/>
          </w:tcPr>
          <w:p>
            <w:pPr>
              <w:pStyle w:val="4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工程量</w:t>
            </w:r>
          </w:p>
        </w:tc>
        <w:tc>
          <w:tcPr>
            <w:tcW w:w="1365" w:type="dxa"/>
            <w:vAlign w:val="center"/>
          </w:tcPr>
          <w:p>
            <w:pPr>
              <w:pStyle w:val="4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单位</w:t>
            </w:r>
          </w:p>
        </w:tc>
        <w:tc>
          <w:tcPr>
            <w:tcW w:w="1608" w:type="dxa"/>
            <w:vAlign w:val="center"/>
          </w:tcPr>
          <w:p>
            <w:pPr>
              <w:pStyle w:val="4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单价（元）</w:t>
            </w:r>
          </w:p>
        </w:tc>
        <w:tc>
          <w:tcPr>
            <w:tcW w:w="968" w:type="dxa"/>
            <w:vAlign w:val="center"/>
          </w:tcPr>
          <w:p>
            <w:pPr>
              <w:pStyle w:val="4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税率</w:t>
            </w:r>
          </w:p>
        </w:tc>
        <w:tc>
          <w:tcPr>
            <w:tcW w:w="2157" w:type="dxa"/>
            <w:vAlign w:val="center"/>
          </w:tcPr>
          <w:p>
            <w:pPr>
              <w:pStyle w:val="40"/>
              <w:jc w:val="center"/>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exact"/>
          <w:jc w:val="center"/>
        </w:trPr>
        <w:tc>
          <w:tcPr>
            <w:tcW w:w="2348" w:type="dxa"/>
            <w:gridSpan w:val="2"/>
            <w:vAlign w:val="center"/>
          </w:tcPr>
          <w:p>
            <w:pPr>
              <w:pStyle w:val="4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取芯</w:t>
            </w:r>
            <w:r>
              <w:rPr>
                <w:rFonts w:hint="eastAsia" w:ascii="仿宋_GB2312" w:hAnsi="仿宋_GB2312" w:eastAsia="仿宋_GB2312" w:cs="仿宋_GB2312"/>
                <w:sz w:val="28"/>
                <w:szCs w:val="28"/>
                <w:highlight w:val="none"/>
                <w:lang w:val="en-US" w:eastAsia="zh-CN"/>
              </w:rPr>
              <w:t>技术服务</w:t>
            </w:r>
          </w:p>
        </w:tc>
        <w:tc>
          <w:tcPr>
            <w:tcW w:w="1845" w:type="dxa"/>
            <w:vAlign w:val="center"/>
          </w:tcPr>
          <w:p>
            <w:pPr>
              <w:pStyle w:val="40"/>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w:t>
            </w:r>
          </w:p>
        </w:tc>
        <w:tc>
          <w:tcPr>
            <w:tcW w:w="1365" w:type="dxa"/>
            <w:vAlign w:val="center"/>
          </w:tcPr>
          <w:p>
            <w:pPr>
              <w:pStyle w:val="40"/>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日历天</w:t>
            </w:r>
          </w:p>
        </w:tc>
        <w:tc>
          <w:tcPr>
            <w:tcW w:w="1608" w:type="dxa"/>
            <w:vAlign w:val="center"/>
          </w:tcPr>
          <w:p>
            <w:pPr>
              <w:jc w:val="center"/>
              <w:textAlignment w:val="center"/>
              <w:rPr>
                <w:rFonts w:ascii="仿宋_GB2312" w:hAnsi="仿宋_GB2312" w:eastAsia="仿宋_GB2312" w:cs="仿宋_GB2312"/>
                <w:sz w:val="28"/>
                <w:szCs w:val="28"/>
                <w:highlight w:val="none"/>
              </w:rPr>
            </w:pPr>
          </w:p>
        </w:tc>
        <w:tc>
          <w:tcPr>
            <w:tcW w:w="968" w:type="dxa"/>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p>
        </w:tc>
        <w:tc>
          <w:tcPr>
            <w:tcW w:w="2157" w:type="dxa"/>
            <w:vAlign w:val="center"/>
          </w:tcPr>
          <w:p>
            <w:pPr>
              <w:jc w:val="center"/>
              <w:textAlignment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2348" w:type="dxa"/>
            <w:gridSpan w:val="2"/>
            <w:vAlign w:val="center"/>
          </w:tcPr>
          <w:p>
            <w:pPr>
              <w:pStyle w:val="40"/>
              <w:jc w:val="center"/>
              <w:rPr>
                <w:rFonts w:ascii="仿宋_GB2312" w:hAnsi="仿宋_GB2312" w:eastAsia="仿宋_GB2312" w:cs="仿宋_GB2312"/>
                <w:sz w:val="28"/>
                <w:szCs w:val="28"/>
                <w:highlight w:val="none"/>
              </w:rPr>
            </w:pPr>
          </w:p>
        </w:tc>
        <w:tc>
          <w:tcPr>
            <w:tcW w:w="1845" w:type="dxa"/>
            <w:vAlign w:val="center"/>
          </w:tcPr>
          <w:p>
            <w:pPr>
              <w:pStyle w:val="40"/>
              <w:jc w:val="center"/>
              <w:rPr>
                <w:rFonts w:ascii="仿宋_GB2312" w:hAnsi="仿宋_GB2312" w:eastAsia="仿宋_GB2312" w:cs="仿宋_GB2312"/>
                <w:sz w:val="28"/>
                <w:szCs w:val="28"/>
                <w:highlight w:val="none"/>
              </w:rPr>
            </w:pPr>
          </w:p>
        </w:tc>
        <w:tc>
          <w:tcPr>
            <w:tcW w:w="1365" w:type="dxa"/>
            <w:vAlign w:val="center"/>
          </w:tcPr>
          <w:p>
            <w:pPr>
              <w:pStyle w:val="40"/>
              <w:jc w:val="center"/>
              <w:rPr>
                <w:rFonts w:ascii="仿宋_GB2312" w:hAnsi="仿宋_GB2312" w:eastAsia="仿宋_GB2312" w:cs="仿宋_GB2312"/>
                <w:sz w:val="28"/>
                <w:szCs w:val="28"/>
                <w:highlight w:val="none"/>
              </w:rPr>
            </w:pPr>
          </w:p>
        </w:tc>
        <w:tc>
          <w:tcPr>
            <w:tcW w:w="1608" w:type="dxa"/>
            <w:vAlign w:val="center"/>
          </w:tcPr>
          <w:p>
            <w:pPr>
              <w:jc w:val="center"/>
              <w:textAlignment w:val="center"/>
              <w:rPr>
                <w:rFonts w:ascii="仿宋_GB2312" w:hAnsi="仿宋_GB2312" w:eastAsia="仿宋_GB2312" w:cs="仿宋_GB2312"/>
                <w:sz w:val="28"/>
                <w:szCs w:val="28"/>
                <w:highlight w:val="none"/>
              </w:rPr>
            </w:pPr>
          </w:p>
        </w:tc>
        <w:tc>
          <w:tcPr>
            <w:tcW w:w="968" w:type="dxa"/>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p>
        </w:tc>
        <w:tc>
          <w:tcPr>
            <w:tcW w:w="2157" w:type="dxa"/>
            <w:vAlign w:val="center"/>
          </w:tcPr>
          <w:p>
            <w:pPr>
              <w:jc w:val="center"/>
              <w:textAlignment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2348" w:type="dxa"/>
            <w:gridSpan w:val="2"/>
            <w:vAlign w:val="center"/>
          </w:tcPr>
          <w:p>
            <w:pPr>
              <w:pStyle w:val="40"/>
              <w:jc w:val="center"/>
              <w:rPr>
                <w:rFonts w:ascii="仿宋_GB2312" w:hAnsi="仿宋_GB2312" w:eastAsia="仿宋_GB2312" w:cs="仿宋_GB2312"/>
                <w:sz w:val="28"/>
                <w:szCs w:val="28"/>
                <w:highlight w:val="none"/>
              </w:rPr>
            </w:pPr>
          </w:p>
        </w:tc>
        <w:tc>
          <w:tcPr>
            <w:tcW w:w="1845" w:type="dxa"/>
            <w:vAlign w:val="center"/>
          </w:tcPr>
          <w:p>
            <w:pPr>
              <w:pStyle w:val="40"/>
              <w:jc w:val="center"/>
              <w:rPr>
                <w:rFonts w:ascii="仿宋_GB2312" w:hAnsi="仿宋_GB2312" w:eastAsia="仿宋_GB2312" w:cs="仿宋_GB2312"/>
                <w:sz w:val="28"/>
                <w:szCs w:val="28"/>
                <w:highlight w:val="none"/>
              </w:rPr>
            </w:pPr>
          </w:p>
        </w:tc>
        <w:tc>
          <w:tcPr>
            <w:tcW w:w="1365" w:type="dxa"/>
            <w:vAlign w:val="center"/>
          </w:tcPr>
          <w:p>
            <w:pPr>
              <w:pStyle w:val="40"/>
              <w:jc w:val="center"/>
              <w:rPr>
                <w:rFonts w:ascii="仿宋_GB2312" w:hAnsi="仿宋_GB2312" w:eastAsia="仿宋_GB2312" w:cs="仿宋_GB2312"/>
                <w:sz w:val="28"/>
                <w:szCs w:val="28"/>
                <w:highlight w:val="none"/>
              </w:rPr>
            </w:pPr>
          </w:p>
        </w:tc>
        <w:tc>
          <w:tcPr>
            <w:tcW w:w="1608" w:type="dxa"/>
            <w:vAlign w:val="center"/>
          </w:tcPr>
          <w:p>
            <w:pPr>
              <w:jc w:val="center"/>
              <w:textAlignment w:val="center"/>
              <w:rPr>
                <w:rFonts w:ascii="仿宋_GB2312" w:hAnsi="仿宋_GB2312" w:eastAsia="仿宋_GB2312" w:cs="仿宋_GB2312"/>
                <w:sz w:val="28"/>
                <w:szCs w:val="28"/>
                <w:highlight w:val="none"/>
              </w:rPr>
            </w:pPr>
          </w:p>
        </w:tc>
        <w:tc>
          <w:tcPr>
            <w:tcW w:w="968" w:type="dxa"/>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p>
        </w:tc>
        <w:tc>
          <w:tcPr>
            <w:tcW w:w="2157" w:type="dxa"/>
            <w:vAlign w:val="center"/>
          </w:tcPr>
          <w:p>
            <w:pPr>
              <w:jc w:val="center"/>
              <w:textAlignment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2348" w:type="dxa"/>
            <w:gridSpan w:val="2"/>
            <w:vAlign w:val="center"/>
          </w:tcPr>
          <w:p>
            <w:pPr>
              <w:pStyle w:val="40"/>
              <w:jc w:val="center"/>
              <w:rPr>
                <w:rFonts w:ascii="仿宋_GB2312" w:hAnsi="仿宋_GB2312" w:eastAsia="仿宋_GB2312" w:cs="仿宋_GB2312"/>
                <w:sz w:val="28"/>
                <w:szCs w:val="28"/>
                <w:highlight w:val="none"/>
              </w:rPr>
            </w:pPr>
          </w:p>
        </w:tc>
        <w:tc>
          <w:tcPr>
            <w:tcW w:w="1845" w:type="dxa"/>
            <w:vAlign w:val="center"/>
          </w:tcPr>
          <w:p>
            <w:pPr>
              <w:pStyle w:val="40"/>
              <w:jc w:val="center"/>
              <w:rPr>
                <w:rFonts w:ascii="仿宋_GB2312" w:hAnsi="仿宋_GB2312" w:eastAsia="仿宋_GB2312" w:cs="仿宋_GB2312"/>
                <w:sz w:val="28"/>
                <w:szCs w:val="28"/>
                <w:highlight w:val="none"/>
              </w:rPr>
            </w:pPr>
          </w:p>
        </w:tc>
        <w:tc>
          <w:tcPr>
            <w:tcW w:w="1365" w:type="dxa"/>
            <w:vAlign w:val="center"/>
          </w:tcPr>
          <w:p>
            <w:pPr>
              <w:pStyle w:val="40"/>
              <w:jc w:val="center"/>
              <w:rPr>
                <w:rFonts w:ascii="仿宋_GB2312" w:hAnsi="仿宋_GB2312" w:eastAsia="仿宋_GB2312" w:cs="仿宋_GB2312"/>
                <w:sz w:val="28"/>
                <w:szCs w:val="28"/>
                <w:highlight w:val="none"/>
              </w:rPr>
            </w:pPr>
          </w:p>
        </w:tc>
        <w:tc>
          <w:tcPr>
            <w:tcW w:w="1608" w:type="dxa"/>
            <w:vAlign w:val="center"/>
          </w:tcPr>
          <w:p>
            <w:pPr>
              <w:jc w:val="center"/>
              <w:textAlignment w:val="center"/>
              <w:rPr>
                <w:rFonts w:ascii="仿宋_GB2312" w:hAnsi="仿宋_GB2312" w:eastAsia="仿宋_GB2312" w:cs="仿宋_GB2312"/>
                <w:sz w:val="28"/>
                <w:szCs w:val="28"/>
                <w:highlight w:val="none"/>
              </w:rPr>
            </w:pPr>
          </w:p>
        </w:tc>
        <w:tc>
          <w:tcPr>
            <w:tcW w:w="968" w:type="dxa"/>
            <w:vAlign w:val="center"/>
          </w:tcPr>
          <w:p>
            <w:pPr>
              <w:jc w:val="center"/>
              <w:textAlignment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p>
        </w:tc>
        <w:tc>
          <w:tcPr>
            <w:tcW w:w="2157" w:type="dxa"/>
            <w:vAlign w:val="center"/>
          </w:tcPr>
          <w:p>
            <w:pPr>
              <w:jc w:val="center"/>
              <w:textAlignment w:val="center"/>
              <w:rPr>
                <w:rFonts w:ascii="仿宋_GB2312" w:hAnsi="仿宋_GB2312" w:eastAsia="仿宋_GB2312" w:cs="仿宋_GB2312"/>
                <w:sz w:val="28"/>
                <w:szCs w:val="2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89" w:hRule="exact"/>
          <w:jc w:val="center"/>
        </w:trPr>
        <w:tc>
          <w:tcPr>
            <w:tcW w:w="1873" w:type="dxa"/>
            <w:tcBorders>
              <w:top w:val="single" w:color="000000" w:sz="4" w:space="0"/>
              <w:left w:val="single" w:color="000000" w:sz="4" w:space="0"/>
              <w:bottom w:val="single" w:color="000000" w:sz="4" w:space="0"/>
              <w:right w:val="single" w:color="000000" w:sz="4" w:space="0"/>
            </w:tcBorders>
            <w:vAlign w:val="center"/>
          </w:tcPr>
          <w:p>
            <w:pPr>
              <w:pStyle w:val="4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合计</w:t>
            </w:r>
          </w:p>
        </w:tc>
        <w:tc>
          <w:tcPr>
            <w:tcW w:w="8418" w:type="dxa"/>
            <w:gridSpan w:val="6"/>
            <w:tcBorders>
              <w:top w:val="single" w:color="000000" w:sz="4" w:space="0"/>
              <w:left w:val="single" w:color="000000" w:sz="4" w:space="0"/>
              <w:bottom w:val="single" w:color="000000" w:sz="4" w:space="0"/>
              <w:right w:val="single" w:color="000000" w:sz="4" w:space="0"/>
            </w:tcBorders>
            <w:vAlign w:val="center"/>
          </w:tcPr>
          <w:p>
            <w:pPr>
              <w:pStyle w:val="40"/>
              <w:tabs>
                <w:tab w:val="left" w:pos="958"/>
                <w:tab w:val="left" w:pos="4841"/>
              </w:tabs>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pacing w:val="-2"/>
                <w:sz w:val="28"/>
                <w:szCs w:val="28"/>
                <w:highlight w:val="none"/>
              </w:rPr>
              <w:t>元（大写：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165" w:hRule="exact"/>
          <w:jc w:val="center"/>
        </w:trPr>
        <w:tc>
          <w:tcPr>
            <w:tcW w:w="10291" w:type="dxa"/>
            <w:gridSpan w:val="7"/>
            <w:tcBorders>
              <w:top w:val="single" w:color="000000" w:sz="4" w:space="0"/>
              <w:left w:val="single" w:color="000000" w:sz="4" w:space="0"/>
              <w:bottom w:val="single" w:color="000000" w:sz="4" w:space="0"/>
              <w:right w:val="single" w:color="000000" w:sz="4" w:space="0"/>
            </w:tcBorders>
            <w:vAlign w:val="center"/>
          </w:tcPr>
          <w:p>
            <w:pPr>
              <w:pStyle w:val="40"/>
              <w:tabs>
                <w:tab w:val="left" w:pos="958"/>
                <w:tab w:val="left" w:pos="4841"/>
              </w:tabs>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说明：上表中工作量为预估量，结算时按照实际发生工作量据实结算。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35" w:hRule="exact"/>
          <w:jc w:val="center"/>
        </w:trPr>
        <w:tc>
          <w:tcPr>
            <w:tcW w:w="10291" w:type="dxa"/>
            <w:gridSpan w:val="7"/>
            <w:tcBorders>
              <w:top w:val="single" w:color="000000" w:sz="4" w:space="0"/>
              <w:left w:val="single" w:color="000000" w:sz="4" w:space="0"/>
              <w:bottom w:val="single" w:color="000000" w:sz="4" w:space="0"/>
              <w:right w:val="single" w:color="000000" w:sz="4" w:space="0"/>
            </w:tcBorders>
            <w:vAlign w:val="center"/>
          </w:tcPr>
          <w:p>
            <w:pPr>
              <w:pStyle w:val="40"/>
              <w:tabs>
                <w:tab w:val="left" w:pos="958"/>
                <w:tab w:val="left" w:pos="4841"/>
              </w:tabs>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t>联系人：             联系电话：</w:t>
            </w:r>
            <w:r>
              <w:rPr>
                <w:rFonts w:hint="eastAsia" w:ascii="仿宋_GB2312" w:hAnsi="仿宋_GB2312" w:eastAsia="仿宋_GB2312" w:cs="仿宋_GB2312"/>
                <w:sz w:val="28"/>
                <w:szCs w:val="28"/>
                <w:highlight w:val="none"/>
              </w:rPr>
              <w:tab/>
            </w:r>
          </w:p>
        </w:tc>
      </w:tr>
    </w:tbl>
    <w:p>
      <w:pPr>
        <w:pStyle w:val="30"/>
        <w:rPr>
          <w:rFonts w:ascii="仿宋_GB2312" w:hAnsi="仿宋_GB2312" w:eastAsia="仿宋_GB2312" w:cs="仿宋_GB2312"/>
          <w:bCs/>
          <w:highlight w:val="none"/>
        </w:rPr>
      </w:pPr>
      <w:r>
        <w:rPr>
          <w:rFonts w:hint="eastAsia" w:ascii="仿宋_GB2312" w:hAnsi="仿宋_GB2312" w:eastAsia="仿宋_GB2312" w:cs="仿宋_GB2312"/>
          <w:bCs/>
          <w:sz w:val="28"/>
          <w:szCs w:val="28"/>
          <w:highlight w:val="none"/>
        </w:rPr>
        <w:t xml:space="preserve">                       </w:t>
      </w:r>
    </w:p>
    <w:p>
      <w:pPr>
        <w:spacing w:line="360" w:lineRule="auto"/>
        <w:rPr>
          <w:rFonts w:ascii="宋体" w:hAnsi="宋体" w:cs="宋体"/>
          <w:b/>
          <w:bCs/>
          <w:sz w:val="30"/>
          <w:szCs w:val="30"/>
          <w:highlight w:val="none"/>
        </w:rPr>
      </w:pPr>
    </w:p>
    <w:p>
      <w:pPr>
        <w:spacing w:line="360" w:lineRule="auto"/>
        <w:rPr>
          <w:rFonts w:ascii="宋体" w:hAnsi="宋体" w:cs="宋体"/>
          <w:b/>
          <w:bCs/>
          <w:sz w:val="30"/>
          <w:szCs w:val="30"/>
          <w:highlight w:val="none"/>
        </w:rPr>
      </w:pPr>
    </w:p>
    <w:p>
      <w:pPr>
        <w:ind w:firstLine="320" w:firstLineChars="100"/>
        <w:rPr>
          <w:sz w:val="32"/>
          <w:szCs w:val="32"/>
          <w:highlight w:val="none"/>
        </w:rPr>
      </w:pPr>
      <w:r>
        <w:rPr>
          <w:rFonts w:hint="eastAsia"/>
          <w:sz w:val="32"/>
          <w:szCs w:val="32"/>
          <w:highlight w:val="none"/>
        </w:rPr>
        <w:t xml:space="preserve">                  签字：</w:t>
      </w:r>
    </w:p>
    <w:p>
      <w:pPr>
        <w:jc w:val="center"/>
        <w:rPr>
          <w:sz w:val="32"/>
          <w:szCs w:val="32"/>
          <w:highlight w:val="none"/>
        </w:rPr>
      </w:pPr>
      <w:r>
        <w:rPr>
          <w:rFonts w:hint="eastAsia"/>
          <w:sz w:val="32"/>
          <w:szCs w:val="32"/>
          <w:highlight w:val="none"/>
        </w:rPr>
        <w:t xml:space="preserve">     </w:t>
      </w:r>
      <w:r>
        <w:rPr>
          <w:rFonts w:hint="eastAsia"/>
          <w:sz w:val="32"/>
          <w:szCs w:val="32"/>
          <w:highlight w:val="none"/>
          <w:lang w:val="en-US" w:eastAsia="zh-CN"/>
        </w:rPr>
        <w:t>响应</w:t>
      </w:r>
      <w:r>
        <w:rPr>
          <w:rFonts w:hint="eastAsia"/>
          <w:sz w:val="32"/>
          <w:szCs w:val="32"/>
          <w:highlight w:val="none"/>
        </w:rPr>
        <w:t xml:space="preserve">人：（公章） </w:t>
      </w:r>
      <w:r>
        <w:rPr>
          <w:sz w:val="32"/>
          <w:szCs w:val="32"/>
          <w:highlight w:val="none"/>
        </w:rPr>
        <w:t xml:space="preserve">     </w:t>
      </w:r>
    </w:p>
    <w:p>
      <w:pPr>
        <w:ind w:firstLine="3200" w:firstLineChars="1000"/>
        <w:rPr>
          <w:sz w:val="32"/>
          <w:szCs w:val="32"/>
          <w:highlight w:val="none"/>
        </w:rPr>
      </w:pPr>
      <w:r>
        <w:rPr>
          <w:rFonts w:hint="eastAsia"/>
          <w:sz w:val="32"/>
          <w:szCs w:val="32"/>
          <w:highlight w:val="none"/>
        </w:rPr>
        <w:t xml:space="preserve">日 </w:t>
      </w:r>
      <w:r>
        <w:rPr>
          <w:sz w:val="32"/>
          <w:szCs w:val="32"/>
          <w:highlight w:val="none"/>
        </w:rPr>
        <w:t xml:space="preserve"> </w:t>
      </w:r>
      <w:r>
        <w:rPr>
          <w:rFonts w:hint="eastAsia"/>
          <w:sz w:val="32"/>
          <w:szCs w:val="32"/>
          <w:highlight w:val="none"/>
        </w:rPr>
        <w:t>期：</w:t>
      </w:r>
    </w:p>
    <w:p>
      <w:pPr>
        <w:jc w:val="center"/>
        <w:rPr>
          <w:rStyle w:val="29"/>
          <w:rFonts w:ascii="宋体" w:hAnsi="宋体" w:cstheme="minorBidi"/>
          <w:b w:val="0"/>
          <w:highlight w:val="none"/>
        </w:rPr>
      </w:pPr>
      <w:r>
        <w:rPr>
          <w:rFonts w:hint="eastAsia" w:ascii="楷体" w:hAnsi="楷体" w:eastAsia="楷体" w:cs="楷体"/>
          <w:sz w:val="28"/>
          <w:szCs w:val="28"/>
          <w:highlight w:val="none"/>
        </w:rPr>
        <w:br w:type="page"/>
      </w:r>
      <w:bookmarkStart w:id="52" w:name="_Toc1604"/>
      <w:r>
        <w:rPr>
          <w:rStyle w:val="29"/>
          <w:rFonts w:hint="eastAsia" w:ascii="宋体" w:hAnsi="宋体" w:cstheme="minorBidi"/>
          <w:b w:val="0"/>
          <w:highlight w:val="none"/>
        </w:rPr>
        <w:t>三、法定代表人身份证明</w:t>
      </w:r>
      <w:bookmarkEnd w:id="52"/>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谈判响应人名称：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（谈判响应人名称）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谈判响应人：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ascii="宋体" w:hAnsi="宋体" w:cstheme="minorBidi"/>
          <w:b w:val="0"/>
          <w:highlight w:val="none"/>
        </w:rPr>
      </w:pPr>
      <w:r>
        <w:rPr>
          <w:rStyle w:val="29"/>
          <w:rFonts w:hint="eastAsia" w:ascii="宋体" w:hAnsi="宋体" w:cstheme="minorBidi"/>
          <w:b w:val="0"/>
          <w:highlight w:val="none"/>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5.我公司同意：如果我公司竞争谈判文件没有按照上述要求进行密封，在开标现场出现内、外层信封（或箱子）均没有密封完好的情况，贵方可以视同我公司投标无效。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6.我公司承诺：在递交竞争性谈判文件截止时间之前将竞争性谈判文件送达下述指定地点：送至南京市栖霞区尧新大道5号前院515室。如未按时送达，视为我司自行放弃本项目投标。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rPr>
        <w:t>谈判响应人名称（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20"/>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20"/>
        <w:rPr>
          <w:rFonts w:ascii="黑体" w:eastAsia="黑体"/>
          <w:b/>
          <w:sz w:val="36"/>
          <w:szCs w:val="24"/>
          <w:highlight w:val="none"/>
        </w:rPr>
      </w:pPr>
    </w:p>
    <w:p>
      <w:pPr>
        <w:rPr>
          <w:highlight w:val="none"/>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五、谈判响应人廉洁承诺书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合谋进行弄虚作假、串通招标等违规活动。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谈判响应人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自2021年1月1日至今，我公司法人、法定代表人、项目经理无行贿犯罪，特此承诺并函告。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本函自签署之日起生效，如我公司承诺的内容不属实，采购人有权取消我单位的谈判成交资格或解除合同，给贵单位造成实际损失，我公司将承担相应的法律责任。</w:t>
      </w:r>
    </w:p>
    <w:p>
      <w:pPr>
        <w:pStyle w:val="31"/>
        <w:rPr>
          <w:rFonts w:cs="宋体"/>
          <w:sz w:val="32"/>
          <w:szCs w:val="32"/>
          <w:highlight w:val="none"/>
        </w:rPr>
      </w:pPr>
    </w:p>
    <w:p>
      <w:pPr>
        <w:pStyle w:val="31"/>
        <w:rPr>
          <w:rFonts w:cs="宋体"/>
          <w:sz w:val="32"/>
          <w:szCs w:val="32"/>
          <w:highlight w:val="none"/>
        </w:rPr>
      </w:pPr>
    </w:p>
    <w:p>
      <w:pPr>
        <w:pStyle w:val="31"/>
        <w:ind w:firstLine="3404" w:firstLineChars="1064"/>
        <w:jc w:val="right"/>
        <w:rPr>
          <w:rFonts w:cs="宋体"/>
          <w:sz w:val="32"/>
          <w:szCs w:val="32"/>
          <w:highlight w:val="none"/>
        </w:rPr>
      </w:pPr>
      <w:r>
        <w:rPr>
          <w:rFonts w:hint="eastAsia" w:cs="宋体"/>
          <w:sz w:val="32"/>
          <w:szCs w:val="32"/>
          <w:highlight w:val="none"/>
        </w:rPr>
        <w:t>单位负责人签字：</w:t>
      </w:r>
    </w:p>
    <w:p>
      <w:pPr>
        <w:pStyle w:val="31"/>
        <w:ind w:firstLine="6278" w:firstLineChars="1962"/>
        <w:jc w:val="right"/>
        <w:rPr>
          <w:rFonts w:cs="宋体"/>
          <w:sz w:val="32"/>
          <w:szCs w:val="32"/>
          <w:highlight w:val="none"/>
        </w:rPr>
      </w:pPr>
      <w:r>
        <w:rPr>
          <w:rFonts w:hint="eastAsia" w:cs="宋体"/>
          <w:sz w:val="32"/>
          <w:szCs w:val="32"/>
          <w:highlight w:val="none"/>
        </w:rPr>
        <w:t>公司盖章：</w:t>
      </w:r>
    </w:p>
    <w:p>
      <w:pPr>
        <w:pStyle w:val="31"/>
        <w:ind w:firstLine="3404" w:firstLineChars="1064"/>
        <w:jc w:val="right"/>
        <w:rPr>
          <w:rFonts w:cs="宋体"/>
          <w:sz w:val="32"/>
          <w:szCs w:val="32"/>
          <w:highlight w:val="none"/>
        </w:rPr>
      </w:pPr>
      <w:r>
        <w:rPr>
          <w:rFonts w:hint="eastAsia" w:cs="宋体"/>
          <w:sz w:val="32"/>
          <w:szCs w:val="32"/>
          <w:highlight w:val="none"/>
        </w:rPr>
        <w:t>日期：</w:t>
      </w:r>
    </w:p>
    <w:p>
      <w:pPr>
        <w:pStyle w:val="20"/>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0"/>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0"/>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0"/>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七、承诺书</w:t>
      </w:r>
    </w:p>
    <w:p>
      <w:pPr>
        <w:spacing w:line="560" w:lineRule="exact"/>
        <w:rPr>
          <w:rFonts w:ascii="楷体" w:hAnsi="楷体" w:eastAsia="楷体" w:cs="楷体"/>
          <w:sz w:val="28"/>
          <w:szCs w:val="28"/>
          <w:highlight w:val="none"/>
        </w:rPr>
      </w:pPr>
      <w:r>
        <w:rPr>
          <w:rFonts w:hint="eastAsia" w:ascii="楷体" w:hAnsi="楷体" w:eastAsia="楷体" w:cs="楷体"/>
          <w:sz w:val="28"/>
          <w:szCs w:val="28"/>
          <w:highlight w:val="none"/>
        </w:rPr>
        <w:t xml:space="preserve">致江苏长江地质勘查院： </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 xml:space="preserve">关于贵方地面沉降标孔建设金坛地区取芯技术服务采购文件，我们作为谈判响应人已熟知，并愿意参加该项目的投标，同时承诺如下： </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1、我方在此声明，本次采购活动中申报的所有资料都是真实、准确完整的，如提供虚假资料，或与事实不符而导致投标无效，甚至造成任何法律和经济责任，完全由我方负责。</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2、我方在本次</w:t>
      </w:r>
      <w:r>
        <w:rPr>
          <w:rFonts w:hint="eastAsia" w:ascii="楷体" w:hAnsi="楷体" w:eastAsia="楷体" w:cs="楷体"/>
          <w:sz w:val="28"/>
          <w:szCs w:val="28"/>
          <w:highlight w:val="none"/>
          <w:lang w:val="en-US" w:eastAsia="zh-CN"/>
        </w:rPr>
        <w:t>采购</w:t>
      </w:r>
      <w:r>
        <w:rPr>
          <w:rFonts w:hint="eastAsia" w:ascii="楷体" w:hAnsi="楷体" w:eastAsia="楷体" w:cs="楷体"/>
          <w:sz w:val="28"/>
          <w:szCs w:val="28"/>
          <w:highlight w:val="none"/>
        </w:rPr>
        <w:t>活动中绝无资质挂靠、串标、围标情形，若经贵方查出，立即取消我方</w:t>
      </w:r>
      <w:r>
        <w:rPr>
          <w:rFonts w:hint="eastAsia" w:ascii="楷体" w:hAnsi="楷体" w:eastAsia="楷体" w:cs="楷体"/>
          <w:sz w:val="28"/>
          <w:szCs w:val="28"/>
          <w:highlight w:val="none"/>
          <w:lang w:val="en-US" w:eastAsia="zh-CN"/>
        </w:rPr>
        <w:t>响应</w:t>
      </w:r>
      <w:r>
        <w:rPr>
          <w:rFonts w:hint="eastAsia" w:ascii="楷体" w:hAnsi="楷体" w:eastAsia="楷体" w:cs="楷体"/>
          <w:sz w:val="28"/>
          <w:szCs w:val="28"/>
          <w:highlight w:val="none"/>
        </w:rPr>
        <w:t>资格并承担相应的法律责任。</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3、我方在以往的采购活动中，无重大违法、违规的不良记录；或虽有不良记录，但已超过处理期限。</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4、我方未被地市级及以上行政主管部门做出取消投标资格的处罚且该处罚在有效期内的。</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5、我方一旦中标，将严格按照</w:t>
      </w:r>
      <w:r>
        <w:rPr>
          <w:rFonts w:hint="eastAsia" w:ascii="楷体" w:hAnsi="楷体" w:eastAsia="楷体" w:cs="楷体"/>
          <w:sz w:val="28"/>
          <w:szCs w:val="28"/>
          <w:highlight w:val="none"/>
          <w:lang w:val="en-US" w:eastAsia="zh-CN"/>
        </w:rPr>
        <w:t>响应</w:t>
      </w:r>
      <w:r>
        <w:rPr>
          <w:rFonts w:hint="eastAsia" w:ascii="楷体" w:hAnsi="楷体" w:eastAsia="楷体" w:cs="楷体"/>
          <w:sz w:val="28"/>
          <w:szCs w:val="28"/>
          <w:highlight w:val="none"/>
        </w:rPr>
        <w:t>文件中所承诺的报价、质量、工期、</w:t>
      </w:r>
      <w:r>
        <w:rPr>
          <w:rFonts w:hint="eastAsia" w:ascii="楷体" w:hAnsi="楷体" w:eastAsia="楷体" w:cs="楷体"/>
          <w:sz w:val="28"/>
          <w:szCs w:val="28"/>
          <w:highlight w:val="none"/>
          <w:lang w:val="en-US" w:eastAsia="zh-CN"/>
        </w:rPr>
        <w:t>响应</w:t>
      </w:r>
      <w:r>
        <w:rPr>
          <w:rFonts w:hint="eastAsia" w:ascii="楷体" w:hAnsi="楷体" w:eastAsia="楷体" w:cs="楷体"/>
          <w:sz w:val="28"/>
          <w:szCs w:val="28"/>
          <w:highlight w:val="none"/>
        </w:rPr>
        <w:t>方案、项目经理等内容组织实施。</w:t>
      </w:r>
    </w:p>
    <w:p>
      <w:pPr>
        <w:spacing w:line="560" w:lineRule="exact"/>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rPr>
        <w:t>6、我方一旦</w:t>
      </w:r>
      <w:r>
        <w:rPr>
          <w:rFonts w:hint="eastAsia" w:ascii="楷体" w:hAnsi="楷体" w:eastAsia="楷体" w:cs="楷体"/>
          <w:sz w:val="28"/>
          <w:szCs w:val="28"/>
          <w:highlight w:val="none"/>
          <w:lang w:val="en-US" w:eastAsia="zh-CN"/>
        </w:rPr>
        <w:t>成交</w:t>
      </w:r>
      <w:r>
        <w:rPr>
          <w:rFonts w:hint="eastAsia" w:ascii="楷体" w:hAnsi="楷体" w:eastAsia="楷体" w:cs="楷体"/>
          <w:sz w:val="28"/>
          <w:szCs w:val="28"/>
          <w:highlight w:val="none"/>
        </w:rPr>
        <w:t>，将按规定及时与采购单位签订合同。</w:t>
      </w:r>
    </w:p>
    <w:p>
      <w:pPr>
        <w:spacing w:line="560" w:lineRule="exact"/>
        <w:ind w:firstLine="560" w:firstLineChars="200"/>
        <w:jc w:val="center"/>
        <w:rPr>
          <w:rFonts w:ascii="楷体" w:hAnsi="楷体" w:eastAsia="楷体" w:cs="楷体"/>
          <w:sz w:val="28"/>
          <w:szCs w:val="28"/>
          <w:highlight w:val="none"/>
        </w:rPr>
      </w:pPr>
      <w:r>
        <w:rPr>
          <w:rFonts w:hint="eastAsia" w:ascii="楷体" w:hAnsi="楷体" w:eastAsia="楷体" w:cs="楷体"/>
          <w:sz w:val="28"/>
          <w:szCs w:val="28"/>
          <w:highlight w:val="none"/>
        </w:rPr>
        <w:t>单位负责人签字：</w:t>
      </w:r>
    </w:p>
    <w:p>
      <w:pPr>
        <w:spacing w:line="560" w:lineRule="exact"/>
        <w:ind w:firstLine="560" w:firstLineChars="200"/>
        <w:jc w:val="center"/>
        <w:rPr>
          <w:rFonts w:ascii="楷体" w:hAnsi="楷体" w:eastAsia="楷体" w:cs="楷体"/>
          <w:sz w:val="28"/>
          <w:szCs w:val="28"/>
          <w:highlight w:val="none"/>
        </w:rPr>
      </w:pPr>
      <w:r>
        <w:rPr>
          <w:rFonts w:hint="eastAsia" w:ascii="楷体" w:hAnsi="楷体" w:eastAsia="楷体" w:cs="楷体"/>
          <w:sz w:val="28"/>
          <w:szCs w:val="28"/>
          <w:highlight w:val="none"/>
        </w:rPr>
        <w:t>公司盖章：</w:t>
      </w:r>
    </w:p>
    <w:p>
      <w:pPr>
        <w:spacing w:line="560" w:lineRule="exact"/>
        <w:ind w:firstLine="560" w:firstLineChars="200"/>
        <w:jc w:val="center"/>
        <w:rPr>
          <w:rFonts w:ascii="楷体" w:hAnsi="楷体" w:eastAsia="楷体" w:cs="楷体"/>
          <w:sz w:val="28"/>
          <w:szCs w:val="28"/>
          <w:highlight w:val="none"/>
        </w:rPr>
      </w:pPr>
      <w:r>
        <w:rPr>
          <w:rFonts w:hint="eastAsia" w:ascii="楷体" w:hAnsi="楷体" w:eastAsia="楷体" w:cs="楷体"/>
          <w:sz w:val="28"/>
          <w:szCs w:val="28"/>
          <w:highlight w:val="none"/>
        </w:rPr>
        <w:t>日期：</w:t>
      </w:r>
    </w:p>
    <w:p>
      <w:pPr>
        <w:jc w:val="center"/>
        <w:rPr>
          <w:rFonts w:ascii="楷体" w:hAnsi="楷体" w:eastAsia="楷体" w:cs="楷体"/>
          <w:sz w:val="28"/>
          <w:szCs w:val="28"/>
          <w:highlight w:val="none"/>
        </w:rPr>
      </w:pPr>
    </w:p>
    <w:p>
      <w:pPr>
        <w:jc w:val="center"/>
        <w:rPr>
          <w:rFonts w:ascii="楷体" w:hAnsi="楷体" w:eastAsia="楷体" w:cs="楷体"/>
          <w:sz w:val="28"/>
          <w:szCs w:val="28"/>
          <w:highlight w:val="none"/>
        </w:rPr>
      </w:pPr>
    </w:p>
    <w:p>
      <w:pPr>
        <w:pStyle w:val="30"/>
        <w:spacing w:line="560" w:lineRule="exact"/>
        <w:jc w:val="center"/>
        <w:rPr>
          <w:rFonts w:ascii="宋体" w:hAnsi="宋体"/>
          <w:sz w:val="32"/>
          <w:szCs w:val="32"/>
          <w:highlight w:val="none"/>
        </w:rPr>
      </w:pPr>
    </w:p>
    <w:p>
      <w:pPr>
        <w:rPr>
          <w:highlight w:val="none"/>
        </w:rPr>
      </w:pPr>
    </w:p>
    <w:p>
      <w:pPr>
        <w:pStyle w:val="19"/>
        <w:rPr>
          <w:highlight w:val="none"/>
        </w:rPr>
      </w:pPr>
    </w:p>
    <w:p>
      <w:pPr>
        <w:rPr>
          <w:highlight w:val="none"/>
        </w:rPr>
      </w:pPr>
    </w:p>
    <w:p>
      <w:pPr>
        <w:rPr>
          <w:rFonts w:ascii="楷体" w:hAnsi="楷体" w:eastAsia="楷体" w:cs="楷体"/>
          <w:sz w:val="28"/>
          <w:szCs w:val="28"/>
          <w:highlight w:val="none"/>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八、设计方案</w:t>
      </w:r>
    </w:p>
    <w:p>
      <w:pPr>
        <w:ind w:firstLine="640" w:firstLineChars="200"/>
        <w:rPr>
          <w:rFonts w:ascii="宋体" w:hAnsi="宋体" w:cs="宋体"/>
          <w:sz w:val="32"/>
          <w:szCs w:val="32"/>
          <w:highlight w:val="none"/>
        </w:rPr>
      </w:pPr>
      <w:r>
        <w:rPr>
          <w:rFonts w:hint="eastAsia" w:ascii="宋体" w:hAnsi="宋体" w:cs="宋体"/>
          <w:sz w:val="32"/>
          <w:szCs w:val="32"/>
          <w:highlight w:val="none"/>
        </w:rPr>
        <w:t>具体包括但不限于取芯方案和技术措施，技术服务的重点和难点保证措施、安全管理体系与措施、环境保护管理体系与措施方案、拟投入人力、物力及设备等资源配备计划、服务作业计划体系、工期等情况。</w:t>
      </w:r>
    </w:p>
    <w:p>
      <w:pPr>
        <w:jc w:val="center"/>
        <w:rPr>
          <w:rFonts w:ascii="楷体" w:hAnsi="楷体" w:eastAsia="楷体" w:cs="楷体"/>
          <w:sz w:val="28"/>
          <w:szCs w:val="28"/>
          <w:highlight w:val="none"/>
        </w:rPr>
      </w:pPr>
    </w:p>
    <w:p>
      <w:pPr>
        <w:jc w:val="center"/>
        <w:rPr>
          <w:rFonts w:ascii="楷体" w:hAnsi="楷体" w:eastAsia="楷体" w:cs="楷体"/>
          <w:sz w:val="28"/>
          <w:szCs w:val="28"/>
          <w:highlight w:val="none"/>
        </w:rPr>
      </w:pPr>
    </w:p>
    <w:p>
      <w:pPr>
        <w:jc w:val="center"/>
        <w:rPr>
          <w:rFonts w:ascii="楷体" w:hAnsi="楷体" w:eastAsia="楷体" w:cs="楷体"/>
          <w:sz w:val="28"/>
          <w:szCs w:val="28"/>
          <w:highlight w:val="none"/>
        </w:rPr>
      </w:pPr>
    </w:p>
    <w:p>
      <w:pPr>
        <w:jc w:val="left"/>
        <w:rPr>
          <w:rFonts w:ascii="黑体" w:hAnsi="仿宋_GB2312" w:eastAsia="黑体"/>
          <w:bCs/>
          <w:color w:val="000000"/>
          <w:kern w:val="44"/>
          <w:sz w:val="32"/>
          <w:szCs w:val="32"/>
          <w:highlight w:val="none"/>
        </w:rPr>
      </w:pPr>
      <w:r>
        <w:rPr>
          <w:rFonts w:hint="eastAsia" w:ascii="楷体" w:hAnsi="楷体" w:eastAsia="楷体" w:cs="楷体"/>
          <w:sz w:val="28"/>
          <w:szCs w:val="28"/>
          <w:highlight w:val="none"/>
        </w:rPr>
        <w:br w:type="page"/>
      </w:r>
      <w:r>
        <w:rPr>
          <w:rFonts w:hint="eastAsia" w:ascii="黑体" w:hAnsi="仿宋_GB2312" w:eastAsia="黑体"/>
          <w:bCs/>
          <w:color w:val="000000"/>
          <w:kern w:val="44"/>
          <w:sz w:val="32"/>
          <w:szCs w:val="32"/>
          <w:highlight w:val="none"/>
        </w:rPr>
        <w:t>九、营业执照等资质证书材料（谈判响应人具有的资质都需要提供）</w:t>
      </w:r>
    </w:p>
    <w:p>
      <w:pPr>
        <w:pStyle w:val="30"/>
        <w:spacing w:line="560" w:lineRule="exact"/>
        <w:rPr>
          <w:rFonts w:ascii="楷体" w:hAnsi="楷体" w:eastAsia="楷体" w:cs="楷体"/>
          <w:sz w:val="28"/>
          <w:szCs w:val="28"/>
          <w:highlight w:val="none"/>
        </w:rPr>
      </w:pPr>
    </w:p>
    <w:p>
      <w:pPr>
        <w:pStyle w:val="30"/>
        <w:spacing w:line="560" w:lineRule="exact"/>
        <w:rPr>
          <w:rFonts w:ascii="宋体" w:hAnsi="宋体" w:cs="宋体"/>
          <w:sz w:val="32"/>
          <w:szCs w:val="32"/>
          <w:highlight w:val="none"/>
        </w:rPr>
      </w:pPr>
      <w:r>
        <w:rPr>
          <w:rFonts w:hint="eastAsia" w:ascii="宋体" w:hAnsi="宋体" w:cs="宋体"/>
          <w:sz w:val="32"/>
          <w:szCs w:val="32"/>
          <w:highlight w:val="none"/>
        </w:rPr>
        <w:t>1、营业执照的复印件</w:t>
      </w:r>
    </w:p>
    <w:p>
      <w:pPr>
        <w:pStyle w:val="30"/>
        <w:spacing w:line="560" w:lineRule="exact"/>
        <w:rPr>
          <w:rFonts w:ascii="宋体" w:hAnsi="宋体" w:cs="宋体"/>
          <w:sz w:val="32"/>
          <w:szCs w:val="32"/>
          <w:highlight w:val="none"/>
        </w:rPr>
      </w:pPr>
      <w:r>
        <w:rPr>
          <w:rFonts w:hint="eastAsia" w:ascii="宋体" w:hAnsi="宋体" w:cs="宋体"/>
          <w:sz w:val="32"/>
          <w:szCs w:val="32"/>
          <w:highlight w:val="none"/>
        </w:rPr>
        <w:t>2、其他资格证明文件。</w:t>
      </w:r>
    </w:p>
    <w:p>
      <w:pPr>
        <w:jc w:val="center"/>
        <w:rPr>
          <w:rFonts w:ascii="黑体" w:hAnsi="仿宋_GB2312" w:eastAsia="黑体"/>
          <w:bCs/>
          <w:color w:val="000000"/>
          <w:kern w:val="44"/>
          <w:sz w:val="32"/>
          <w:szCs w:val="32"/>
          <w:highlight w:val="none"/>
        </w:rPr>
      </w:pPr>
      <w:r>
        <w:rPr>
          <w:rFonts w:hint="eastAsia" w:ascii="楷体" w:hAnsi="楷体" w:eastAsia="楷体" w:cs="楷体"/>
          <w:sz w:val="28"/>
          <w:szCs w:val="28"/>
          <w:highlight w:val="none"/>
        </w:rPr>
        <w:br w:type="page"/>
      </w:r>
      <w:r>
        <w:rPr>
          <w:rFonts w:hint="eastAsia" w:ascii="黑体" w:hAnsi="仿宋_GB2312" w:eastAsia="黑体"/>
          <w:bCs/>
          <w:color w:val="000000"/>
          <w:kern w:val="44"/>
          <w:sz w:val="32"/>
          <w:szCs w:val="32"/>
          <w:highlight w:val="none"/>
        </w:rPr>
        <w:t>十、业绩（提供2021年-至今业绩合同扫描件）</w:t>
      </w:r>
    </w:p>
    <w:p>
      <w:pPr>
        <w:rPr>
          <w:highlight w:val="none"/>
        </w:rPr>
      </w:pPr>
    </w:p>
    <w:p>
      <w:pPr>
        <w:rPr>
          <w:highlight w:val="none"/>
        </w:rPr>
      </w:pPr>
    </w:p>
    <w:p>
      <w:pPr>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spacing w:line="360" w:lineRule="auto"/>
        <w:rPr>
          <w:rFonts w:ascii="黑体" w:hAnsi="仿宋_GB2312" w:eastAsia="黑体"/>
          <w:bCs/>
          <w:color w:val="000000"/>
          <w:kern w:val="44"/>
          <w:sz w:val="32"/>
          <w:szCs w:val="32"/>
          <w:highlight w:val="none"/>
        </w:rPr>
      </w:pPr>
    </w:p>
    <w:p>
      <w:pPr>
        <w:pStyle w:val="19"/>
        <w:rPr>
          <w:rFonts w:ascii="黑体" w:hAnsi="仿宋_GB2312" w:eastAsia="黑体"/>
          <w:bCs/>
          <w:color w:val="000000"/>
          <w:kern w:val="44"/>
          <w:sz w:val="32"/>
          <w:szCs w:val="32"/>
          <w:highlight w:val="none"/>
        </w:rPr>
      </w:pPr>
    </w:p>
    <w:p>
      <w:pPr>
        <w:rPr>
          <w:rFonts w:ascii="黑体" w:hAnsi="仿宋_GB2312" w:eastAsia="黑体"/>
          <w:bCs/>
          <w:color w:val="000000"/>
          <w:kern w:val="44"/>
          <w:sz w:val="32"/>
          <w:szCs w:val="32"/>
          <w:highlight w:val="none"/>
        </w:rPr>
      </w:pPr>
    </w:p>
    <w:p>
      <w:pPr>
        <w:pStyle w:val="19"/>
        <w:rPr>
          <w:rFonts w:ascii="黑体" w:hAnsi="仿宋_GB2312" w:eastAsia="黑体"/>
          <w:bCs/>
          <w:color w:val="000000"/>
          <w:kern w:val="44"/>
          <w:sz w:val="32"/>
          <w:szCs w:val="32"/>
          <w:highlight w:val="none"/>
        </w:rPr>
      </w:pPr>
    </w:p>
    <w:p>
      <w:pPr>
        <w:rPr>
          <w:rFonts w:ascii="黑体" w:hAnsi="仿宋_GB2312" w:eastAsia="黑体"/>
          <w:bCs/>
          <w:color w:val="000000"/>
          <w:kern w:val="44"/>
          <w:sz w:val="32"/>
          <w:szCs w:val="32"/>
          <w:highlight w:val="none"/>
        </w:rPr>
      </w:pPr>
    </w:p>
    <w:p>
      <w:pPr>
        <w:rPr>
          <w:highlight w:val="none"/>
        </w:rPr>
      </w:pPr>
    </w:p>
    <w:p>
      <w:pPr>
        <w:spacing w:line="360" w:lineRule="auto"/>
        <w:jc w:val="center"/>
        <w:rPr>
          <w:rFonts w:ascii="黑体" w:hAnsi="仿宋_GB2312" w:eastAsia="黑体"/>
          <w:bCs/>
          <w:color w:val="000000"/>
          <w:kern w:val="44"/>
          <w:sz w:val="32"/>
          <w:szCs w:val="32"/>
          <w:highlight w:val="none"/>
        </w:rPr>
      </w:pPr>
    </w:p>
    <w:p>
      <w:pPr>
        <w:rPr>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5A0CAB"/>
    <w:multiLevelType w:val="multilevel"/>
    <w:tmpl w:val="ED5A0CAB"/>
    <w:lvl w:ilvl="0" w:tentative="0">
      <w:start w:val="1"/>
      <w:numFmt w:val="japaneseCounting"/>
      <w:lvlText w:val="%1、"/>
      <w:lvlJc w:val="left"/>
      <w:pPr>
        <w:ind w:left="720" w:hanging="72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abstractNum w:abstractNumId="2">
    <w:nsid w:val="41BD59C4"/>
    <w:multiLevelType w:val="singleLevel"/>
    <w:tmpl w:val="41BD59C4"/>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3A2B41AB"/>
    <w:rsid w:val="00060B9E"/>
    <w:rsid w:val="000800F3"/>
    <w:rsid w:val="001C5573"/>
    <w:rsid w:val="002B6923"/>
    <w:rsid w:val="003060B2"/>
    <w:rsid w:val="00364C3A"/>
    <w:rsid w:val="004C251F"/>
    <w:rsid w:val="00564BF8"/>
    <w:rsid w:val="00655221"/>
    <w:rsid w:val="006B10C7"/>
    <w:rsid w:val="006D42E4"/>
    <w:rsid w:val="00A4203D"/>
    <w:rsid w:val="00A631C3"/>
    <w:rsid w:val="00C968A7"/>
    <w:rsid w:val="00D61598"/>
    <w:rsid w:val="00DD211D"/>
    <w:rsid w:val="00E224D0"/>
    <w:rsid w:val="00E2414D"/>
    <w:rsid w:val="00EB0C6B"/>
    <w:rsid w:val="00F01FC7"/>
    <w:rsid w:val="00F90E19"/>
    <w:rsid w:val="00FB6A08"/>
    <w:rsid w:val="00FE3239"/>
    <w:rsid w:val="016F26AC"/>
    <w:rsid w:val="01964270"/>
    <w:rsid w:val="020C4532"/>
    <w:rsid w:val="02D23086"/>
    <w:rsid w:val="03600692"/>
    <w:rsid w:val="047C599F"/>
    <w:rsid w:val="05E6498A"/>
    <w:rsid w:val="05ED5229"/>
    <w:rsid w:val="05F72E03"/>
    <w:rsid w:val="07342561"/>
    <w:rsid w:val="073E6B20"/>
    <w:rsid w:val="08035A6C"/>
    <w:rsid w:val="085D24E6"/>
    <w:rsid w:val="090221EB"/>
    <w:rsid w:val="09150170"/>
    <w:rsid w:val="098B0620"/>
    <w:rsid w:val="09AB4631"/>
    <w:rsid w:val="0A8A63CE"/>
    <w:rsid w:val="0ACC0D02"/>
    <w:rsid w:val="0B472137"/>
    <w:rsid w:val="0B664CB3"/>
    <w:rsid w:val="0B815649"/>
    <w:rsid w:val="0C083FBC"/>
    <w:rsid w:val="0C3E79DE"/>
    <w:rsid w:val="0CB966FD"/>
    <w:rsid w:val="0CCB69B2"/>
    <w:rsid w:val="0D221557"/>
    <w:rsid w:val="0D41054D"/>
    <w:rsid w:val="0D815DD4"/>
    <w:rsid w:val="0D865199"/>
    <w:rsid w:val="0DAB3876"/>
    <w:rsid w:val="0DC21F49"/>
    <w:rsid w:val="0FAB0611"/>
    <w:rsid w:val="10AD127D"/>
    <w:rsid w:val="10B87125"/>
    <w:rsid w:val="10EC17B7"/>
    <w:rsid w:val="11005262"/>
    <w:rsid w:val="11365128"/>
    <w:rsid w:val="11CB6ABE"/>
    <w:rsid w:val="1232319F"/>
    <w:rsid w:val="12F50B55"/>
    <w:rsid w:val="14902DA1"/>
    <w:rsid w:val="14A01236"/>
    <w:rsid w:val="14EF5D19"/>
    <w:rsid w:val="15344D61"/>
    <w:rsid w:val="15A5287C"/>
    <w:rsid w:val="164976AB"/>
    <w:rsid w:val="168230D4"/>
    <w:rsid w:val="18CC46D0"/>
    <w:rsid w:val="18E13BCB"/>
    <w:rsid w:val="18FE652B"/>
    <w:rsid w:val="19CE23A1"/>
    <w:rsid w:val="1ABC044C"/>
    <w:rsid w:val="1B040045"/>
    <w:rsid w:val="1B1F6C2C"/>
    <w:rsid w:val="1B3F2E2B"/>
    <w:rsid w:val="1B485BA7"/>
    <w:rsid w:val="1BE45A3C"/>
    <w:rsid w:val="1DAD4007"/>
    <w:rsid w:val="1DF148B0"/>
    <w:rsid w:val="1E9626F5"/>
    <w:rsid w:val="1F2A5665"/>
    <w:rsid w:val="1F642E60"/>
    <w:rsid w:val="1FDD1220"/>
    <w:rsid w:val="204A64FA"/>
    <w:rsid w:val="20547378"/>
    <w:rsid w:val="2100305C"/>
    <w:rsid w:val="21740850"/>
    <w:rsid w:val="217B037E"/>
    <w:rsid w:val="21A41C3A"/>
    <w:rsid w:val="226D64CF"/>
    <w:rsid w:val="23571659"/>
    <w:rsid w:val="2377133A"/>
    <w:rsid w:val="238D507B"/>
    <w:rsid w:val="247753E3"/>
    <w:rsid w:val="257007B0"/>
    <w:rsid w:val="2593624D"/>
    <w:rsid w:val="25987D07"/>
    <w:rsid w:val="25CC175F"/>
    <w:rsid w:val="262477ED"/>
    <w:rsid w:val="26977FBF"/>
    <w:rsid w:val="26EB157D"/>
    <w:rsid w:val="26FB054E"/>
    <w:rsid w:val="27135897"/>
    <w:rsid w:val="27996DE3"/>
    <w:rsid w:val="27C60B5C"/>
    <w:rsid w:val="27F60D15"/>
    <w:rsid w:val="28F9286B"/>
    <w:rsid w:val="29143B49"/>
    <w:rsid w:val="29F86FC6"/>
    <w:rsid w:val="2A922F77"/>
    <w:rsid w:val="2C043A01"/>
    <w:rsid w:val="2D517119"/>
    <w:rsid w:val="2DC12B39"/>
    <w:rsid w:val="2FCD4A51"/>
    <w:rsid w:val="2FCF2577"/>
    <w:rsid w:val="301B57BD"/>
    <w:rsid w:val="303B5E5F"/>
    <w:rsid w:val="30656A38"/>
    <w:rsid w:val="309C68FD"/>
    <w:rsid w:val="30AF2473"/>
    <w:rsid w:val="30F93DC8"/>
    <w:rsid w:val="319D6E3C"/>
    <w:rsid w:val="32221084"/>
    <w:rsid w:val="33C20973"/>
    <w:rsid w:val="344C063B"/>
    <w:rsid w:val="357716E7"/>
    <w:rsid w:val="367E51B7"/>
    <w:rsid w:val="36857E34"/>
    <w:rsid w:val="37164F30"/>
    <w:rsid w:val="37343CB3"/>
    <w:rsid w:val="379C3687"/>
    <w:rsid w:val="37A52604"/>
    <w:rsid w:val="3A2B41AB"/>
    <w:rsid w:val="3A414072"/>
    <w:rsid w:val="3AE8267C"/>
    <w:rsid w:val="3B164BF1"/>
    <w:rsid w:val="3B934DA1"/>
    <w:rsid w:val="3DE55D84"/>
    <w:rsid w:val="3E7C3204"/>
    <w:rsid w:val="3EB63280"/>
    <w:rsid w:val="3F446ADE"/>
    <w:rsid w:val="3F9D1D4A"/>
    <w:rsid w:val="407707ED"/>
    <w:rsid w:val="423A703E"/>
    <w:rsid w:val="4249440B"/>
    <w:rsid w:val="427E2307"/>
    <w:rsid w:val="42AD499A"/>
    <w:rsid w:val="454113CA"/>
    <w:rsid w:val="46357180"/>
    <w:rsid w:val="46A61E2C"/>
    <w:rsid w:val="47B5612D"/>
    <w:rsid w:val="480C7D3E"/>
    <w:rsid w:val="487B4BF3"/>
    <w:rsid w:val="49D96075"/>
    <w:rsid w:val="4B0435C5"/>
    <w:rsid w:val="4B0610EB"/>
    <w:rsid w:val="4D0D12B8"/>
    <w:rsid w:val="4D8B2E35"/>
    <w:rsid w:val="4E3B72FE"/>
    <w:rsid w:val="4ECB24F8"/>
    <w:rsid w:val="4F4331C8"/>
    <w:rsid w:val="503C6221"/>
    <w:rsid w:val="50636741"/>
    <w:rsid w:val="50F6750C"/>
    <w:rsid w:val="51B51D64"/>
    <w:rsid w:val="51B51D9B"/>
    <w:rsid w:val="52383B54"/>
    <w:rsid w:val="525F2A86"/>
    <w:rsid w:val="52D7511B"/>
    <w:rsid w:val="52F31BE5"/>
    <w:rsid w:val="5302488E"/>
    <w:rsid w:val="53F32429"/>
    <w:rsid w:val="541D1254"/>
    <w:rsid w:val="54662BFB"/>
    <w:rsid w:val="549B4418"/>
    <w:rsid w:val="54A0435F"/>
    <w:rsid w:val="54AD082A"/>
    <w:rsid w:val="552B174F"/>
    <w:rsid w:val="55FC4663"/>
    <w:rsid w:val="56010E2D"/>
    <w:rsid w:val="569A6B8C"/>
    <w:rsid w:val="56C26B22"/>
    <w:rsid w:val="57320DF1"/>
    <w:rsid w:val="57462870"/>
    <w:rsid w:val="57E427B4"/>
    <w:rsid w:val="585A4BA4"/>
    <w:rsid w:val="587D49B7"/>
    <w:rsid w:val="59372DB8"/>
    <w:rsid w:val="598C4EB2"/>
    <w:rsid w:val="5A1F69EE"/>
    <w:rsid w:val="5A493AAE"/>
    <w:rsid w:val="5B5E287E"/>
    <w:rsid w:val="5BA10673"/>
    <w:rsid w:val="5BB16E51"/>
    <w:rsid w:val="5BC30933"/>
    <w:rsid w:val="5C653798"/>
    <w:rsid w:val="5D0C00B7"/>
    <w:rsid w:val="5D83481E"/>
    <w:rsid w:val="5DB96B1E"/>
    <w:rsid w:val="5DCA6628"/>
    <w:rsid w:val="5E0A45F7"/>
    <w:rsid w:val="5F0202B7"/>
    <w:rsid w:val="5F456E4F"/>
    <w:rsid w:val="61D03DA9"/>
    <w:rsid w:val="61D218D0"/>
    <w:rsid w:val="62724E61"/>
    <w:rsid w:val="63044341"/>
    <w:rsid w:val="63D95197"/>
    <w:rsid w:val="64686F03"/>
    <w:rsid w:val="64A77044"/>
    <w:rsid w:val="64AA08E2"/>
    <w:rsid w:val="656C403D"/>
    <w:rsid w:val="6726785D"/>
    <w:rsid w:val="6954706E"/>
    <w:rsid w:val="69DF102E"/>
    <w:rsid w:val="6AED777A"/>
    <w:rsid w:val="6B030D4C"/>
    <w:rsid w:val="6B6C069F"/>
    <w:rsid w:val="6B9A16B0"/>
    <w:rsid w:val="6D286848"/>
    <w:rsid w:val="6D2B1425"/>
    <w:rsid w:val="6DB3453A"/>
    <w:rsid w:val="6E5D0773"/>
    <w:rsid w:val="6F63625D"/>
    <w:rsid w:val="7003534A"/>
    <w:rsid w:val="707324D0"/>
    <w:rsid w:val="737427E7"/>
    <w:rsid w:val="73905147"/>
    <w:rsid w:val="73F8030D"/>
    <w:rsid w:val="74520C5C"/>
    <w:rsid w:val="74DD616A"/>
    <w:rsid w:val="74EA0870"/>
    <w:rsid w:val="76937428"/>
    <w:rsid w:val="769B2EDE"/>
    <w:rsid w:val="77764653"/>
    <w:rsid w:val="78CA4C57"/>
    <w:rsid w:val="79220866"/>
    <w:rsid w:val="7A5573A6"/>
    <w:rsid w:val="7A613399"/>
    <w:rsid w:val="7C0C5586"/>
    <w:rsid w:val="7CB24FCC"/>
    <w:rsid w:val="7D9812EF"/>
    <w:rsid w:val="7E15185A"/>
    <w:rsid w:val="7E941F8F"/>
    <w:rsid w:val="7EA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qFormat/>
    <w:uiPriority w:val="0"/>
    <w:pPr>
      <w:keepNext/>
      <w:keepLines/>
      <w:ind w:firstLine="2718" w:firstLineChars="846"/>
      <w:outlineLvl w:val="2"/>
    </w:pPr>
    <w:rPr>
      <w:rFonts w:ascii="Cambria" w:hAnsi="Cambria"/>
      <w:b/>
      <w:snapToGrid w:val="0"/>
      <w:sz w:val="32"/>
      <w:szCs w:val="32"/>
    </w:rPr>
  </w:style>
  <w:style w:type="character" w:default="1" w:styleId="22">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rPr>
  </w:style>
  <w:style w:type="paragraph" w:styleId="9">
    <w:name w:val="annotation text"/>
    <w:basedOn w:val="1"/>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20"/>
      </w:tabs>
      <w:spacing w:line="360" w:lineRule="auto"/>
    </w:pPr>
  </w:style>
  <w:style w:type="paragraph" w:styleId="17">
    <w:name w:val="List"/>
    <w:basedOn w:val="1"/>
    <w:unhideWhenUsed/>
    <w:qFormat/>
    <w:uiPriority w:val="99"/>
    <w:pPr>
      <w:contextualSpacing/>
      <w:jc w:val="center"/>
    </w:pPr>
    <w:rPr>
      <w:b/>
      <w:sz w:val="24"/>
    </w:rPr>
  </w:style>
  <w:style w:type="paragraph" w:styleId="18">
    <w:name w:val="Body Text Indent 3"/>
    <w:basedOn w:val="1"/>
    <w:qFormat/>
    <w:uiPriority w:val="0"/>
    <w:pPr>
      <w:spacing w:after="120"/>
      <w:ind w:left="420" w:leftChars="200"/>
    </w:pPr>
    <w:rPr>
      <w:sz w:val="16"/>
      <w:szCs w:val="16"/>
    </w:rPr>
  </w:style>
  <w:style w:type="paragraph" w:styleId="19">
    <w:name w:val="table of figures"/>
    <w:basedOn w:val="1"/>
    <w:next w:val="1"/>
    <w:qFormat/>
    <w:uiPriority w:val="0"/>
    <w:pPr>
      <w:ind w:left="420" w:hanging="420"/>
      <w:jc w:val="left"/>
    </w:pPr>
    <w:rPr>
      <w:smallCaps/>
      <w:sz w:val="20"/>
    </w:rPr>
  </w:style>
  <w:style w:type="paragraph" w:styleId="20">
    <w:name w:val="toc 2"/>
    <w:basedOn w:val="1"/>
    <w:next w:val="1"/>
    <w:qFormat/>
    <w:uiPriority w:val="39"/>
    <w:pPr>
      <w:tabs>
        <w:tab w:val="left" w:pos="1050"/>
        <w:tab w:val="right" w:leader="dot" w:pos="9020"/>
      </w:tabs>
      <w:spacing w:line="300" w:lineRule="auto"/>
      <w:ind w:left="420" w:leftChars="200"/>
    </w:pPr>
  </w:style>
  <w:style w:type="paragraph" w:styleId="21">
    <w:name w:val="Normal (Web)"/>
    <w:basedOn w:val="1"/>
    <w:qFormat/>
    <w:uiPriority w:val="0"/>
    <w:pPr>
      <w:spacing w:beforeAutospacing="1" w:afterAutospacing="1"/>
      <w:jc w:val="left"/>
    </w:pPr>
    <w:rPr>
      <w:kern w:val="0"/>
      <w:sz w:val="24"/>
    </w:r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 w:type="character" w:customStyle="1" w:styleId="33">
    <w:name w:val="font31"/>
    <w:basedOn w:val="22"/>
    <w:qFormat/>
    <w:uiPriority w:val="0"/>
    <w:rPr>
      <w:rFonts w:hint="eastAsia" w:ascii="宋体" w:hAnsi="宋体" w:eastAsia="宋体" w:cs="宋体"/>
      <w:color w:val="000000"/>
      <w:sz w:val="24"/>
      <w:szCs w:val="24"/>
      <w:u w:val="none"/>
    </w:rPr>
  </w:style>
  <w:style w:type="character" w:customStyle="1" w:styleId="34">
    <w:name w:val="font21"/>
    <w:basedOn w:val="22"/>
    <w:qFormat/>
    <w:uiPriority w:val="0"/>
    <w:rPr>
      <w:rFonts w:hint="default" w:ascii="Times New Roman" w:hAnsi="Times New Roman" w:cs="Times New Roman"/>
      <w:color w:val="000000"/>
      <w:sz w:val="24"/>
      <w:szCs w:val="24"/>
      <w:u w:val="none"/>
    </w:rPr>
  </w:style>
  <w:style w:type="character" w:customStyle="1" w:styleId="35">
    <w:name w:val="font01"/>
    <w:basedOn w:val="22"/>
    <w:qFormat/>
    <w:uiPriority w:val="0"/>
    <w:rPr>
      <w:rFonts w:hint="eastAsia" w:ascii="宋体" w:hAnsi="宋体" w:eastAsia="宋体" w:cs="宋体"/>
      <w:color w:val="000000"/>
      <w:sz w:val="24"/>
      <w:szCs w:val="24"/>
      <w:u w:val="none"/>
    </w:rPr>
  </w:style>
  <w:style w:type="character" w:customStyle="1" w:styleId="36">
    <w:name w:val="页眉 Char"/>
    <w:basedOn w:val="22"/>
    <w:link w:val="15"/>
    <w:qFormat/>
    <w:uiPriority w:val="0"/>
    <w:rPr>
      <w:kern w:val="2"/>
      <w:sz w:val="18"/>
      <w:szCs w:val="18"/>
    </w:rPr>
  </w:style>
  <w:style w:type="table" w:customStyle="1" w:styleId="37">
    <w:name w:val="Table Normal"/>
    <w:semiHidden/>
    <w:unhideWhenUsed/>
    <w:qFormat/>
    <w:uiPriority w:val="0"/>
    <w:tblPr>
      <w:tblLayout w:type="fixed"/>
      <w:tblCellMar>
        <w:top w:w="0" w:type="dxa"/>
        <w:left w:w="0" w:type="dxa"/>
        <w:bottom w:w="0" w:type="dxa"/>
        <w:right w:w="0" w:type="dxa"/>
      </w:tblCellMar>
    </w:tblPr>
  </w:style>
  <w:style w:type="paragraph" w:customStyle="1" w:styleId="38">
    <w:name w:val="标题1吴"/>
    <w:basedOn w:val="5"/>
    <w:qFormat/>
    <w:uiPriority w:val="0"/>
    <w:pPr>
      <w:keepNext w:val="0"/>
      <w:keepLines w:val="0"/>
      <w:widowControl/>
      <w:shd w:val="clear" w:color="auto" w:fill="FFFFFF"/>
      <w:spacing w:line="720" w:lineRule="auto"/>
    </w:pPr>
    <w:rPr>
      <w:rFonts w:eastAsia="黑体" w:cs="Arial"/>
      <w:color w:val="000000"/>
      <w:kern w:val="36"/>
      <w:sz w:val="32"/>
      <w:szCs w:val="33"/>
    </w:rPr>
  </w:style>
  <w:style w:type="paragraph" w:customStyle="1" w:styleId="39">
    <w:name w:val="msolistparagraph"/>
    <w:basedOn w:val="1"/>
    <w:qFormat/>
    <w:uiPriority w:val="0"/>
    <w:pPr>
      <w:ind w:firstLine="420" w:firstLineChars="200"/>
    </w:pPr>
    <w:rPr>
      <w:rFonts w:hint="eastAsia" w:ascii="等线" w:hAnsi="等线" w:eastAsia="等线"/>
      <w:szCs w:val="22"/>
    </w:rPr>
  </w:style>
  <w:style w:type="paragraph" w:customStyle="1" w:styleId="4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7860</Words>
  <Characters>8221</Characters>
  <Lines>70</Lines>
  <Paragraphs>19</Paragraphs>
  <TotalTime>29</TotalTime>
  <ScaleCrop>false</ScaleCrop>
  <LinksUpToDate>false</LinksUpToDate>
  <CharactersWithSpaces>9162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2024-10-01T01:59:00Z</dcterms:created>
  <dc:creator>乔辰生</dc:creator>
  <cp:lastModifiedBy>梦里花落U知多少</cp:lastModifiedBy>
  <dcterms:modified xsi:type="dcterms:W3CDTF">2024-11-22T06:22:28Z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0235649DB2214C04A39DE806BD28E2F9_13</vt:lpwstr>
  </property>
</Properties>
</file>